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559"/>
        <w:gridCol w:w="1559"/>
        <w:gridCol w:w="3118"/>
        <w:gridCol w:w="2267"/>
        <w:gridCol w:w="1703"/>
      </w:tblGrid>
      <w:tr w:rsidR="00C61329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Start w:id="1" w:name="_GoBack"/>
            <w:bookmarkEnd w:id="0"/>
            <w:bookmarkEnd w:id="1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C61329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61329">
        <w:tc>
          <w:tcPr>
            <w:tcW w:w="850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C61329"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C61329"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</w:pPr>
          </w:p>
        </w:tc>
        <w:tc>
          <w:tcPr>
            <w:tcW w:w="467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7"/>
            </w:tblGrid>
            <w:tr w:rsidR="00C61329">
              <w:trPr>
                <w:jc w:val="center"/>
              </w:trPr>
              <w:tc>
                <w:tcPr>
                  <w:tcW w:w="4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2026 г.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01.01.2026</w:t>
            </w:r>
          </w:p>
        </w:tc>
      </w:tr>
      <w:tr w:rsidR="00C61329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</w:pPr>
          </w:p>
        </w:tc>
        <w:tc>
          <w:tcPr>
            <w:tcW w:w="1703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C61329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  <w:jc w:val="center"/>
                  </w:pP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</w:tr>
      <w:tr w:rsidR="00C61329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</w:pPr>
          </w:p>
        </w:tc>
        <w:tc>
          <w:tcPr>
            <w:tcW w:w="1703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</w:pPr>
          </w:p>
        </w:tc>
      </w:tr>
      <w:tr w:rsidR="00C61329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</w:pP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rPr>
          <w:trHeight w:val="680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rPr>
          <w:trHeight w:val="226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rPr>
                <w:color w:val="000000"/>
                <w:sz w:val="28"/>
                <w:szCs w:val="28"/>
                <w:u w:val="single"/>
              </w:rPr>
            </w:pPr>
            <w:proofErr w:type="spellStart"/>
            <w:r>
              <w:rPr>
                <w:color w:val="000000"/>
                <w:sz w:val="28"/>
                <w:szCs w:val="28"/>
                <w:u w:val="single"/>
              </w:rPr>
              <w:t>Муромцевского</w:t>
            </w:r>
            <w:proofErr w:type="spellEnd"/>
            <w:r>
              <w:rPr>
                <w:color w:val="000000"/>
                <w:sz w:val="28"/>
                <w:szCs w:val="28"/>
                <w:u w:val="single"/>
              </w:rPr>
              <w:t xml:space="preserve"> городского поселения </w:t>
            </w:r>
            <w:proofErr w:type="spellStart"/>
            <w:r>
              <w:rPr>
                <w:color w:val="000000"/>
                <w:sz w:val="28"/>
                <w:szCs w:val="28"/>
                <w:u w:val="single"/>
              </w:rPr>
              <w:t>Муромцевского</w:t>
            </w:r>
            <w:proofErr w:type="spellEnd"/>
            <w:r>
              <w:rPr>
                <w:color w:val="000000"/>
                <w:sz w:val="28"/>
                <w:szCs w:val="28"/>
                <w:u w:val="single"/>
              </w:rPr>
              <w:t xml:space="preserve"> муниципального района Омской области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C61329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52634151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</w:tr>
      <w:tr w:rsidR="00C61329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C61329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C61329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C61329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C61329" w:rsidRDefault="00C61329">
      <w:pPr>
        <w:rPr>
          <w:vanish/>
        </w:rPr>
      </w:pPr>
      <w:bookmarkStart w:id="2" w:name="__bookmark_3"/>
      <w:bookmarkEnd w:id="2"/>
    </w:p>
    <w:tbl>
      <w:tblPr>
        <w:tblOverlap w:val="never"/>
        <w:tblW w:w="10001" w:type="dxa"/>
        <w:tblLayout w:type="fixed"/>
        <w:tblLook w:val="01E0" w:firstRow="1" w:lastRow="1" w:firstColumn="1" w:lastColumn="1" w:noHBand="0" w:noVBand="0"/>
      </w:tblPr>
      <w:tblGrid>
        <w:gridCol w:w="1660"/>
        <w:gridCol w:w="1660"/>
        <w:gridCol w:w="1660"/>
        <w:gridCol w:w="1660"/>
        <w:gridCol w:w="1660"/>
        <w:gridCol w:w="1701"/>
      </w:tblGrid>
      <w:tr w:rsidR="00C61329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1 "Организационная структура субъекта бюджетной отчетности"</w:t>
            </w:r>
          </w:p>
          <w:p w:rsidR="00C61329" w:rsidRDefault="003D1DC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C61329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C61329" w:rsidRDefault="003D1DC9">
                  <w:pPr>
                    <w:ind w:right="42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Раздел 1 «Организационная структура субъекта бюджетной отчетности»</w:t>
                  </w:r>
                </w:p>
                <w:p w:rsidR="00C61329" w:rsidRDefault="00C61329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314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314"/>
                  </w:tblGrid>
                  <w:tr w:rsidR="00C61329">
                    <w:tc>
                      <w:tcPr>
                        <w:tcW w:w="103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spacing w:before="100" w:after="100"/>
                          <w:ind w:right="420"/>
                          <w:jc w:val="both"/>
                        </w:pP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Муромцевское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городское поселение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района Омской области в соответствии с законом Омской области «О границах и статусе муниципальных образований Омской области" от 30 июля 2004 года № 548-оз имеет статус городского поселения в составе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муниципального района.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Устав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 (далее – Устав) принят решением Совета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от 28 ноября 2005 года №21, с изменениями и дополнениями, внесенными решениями Совета городского поселения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. Органами местного самоуправления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являются Администрация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 и Совет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Омской области.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Решением Совета городского поселения от 11 октября 2005 года №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7 утверждено Положение об администрации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поселения, свидетельство (изменения) о государственной регистрации в Межрайонной ИФНС России №4 по Омской области  получено 23 декабря 2005 года (ГРН 1055541008764, ИНН 5522006275). Местонах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ождение администрации: Омская область,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Муромцевский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район,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р.п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. Муромцево, улица Лисина, дом 56.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Штатное расписание администрации на 2025 год  сформировано в соответствии с законодательством РФ и Омской области и утверждено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распоряжениями  администра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ции от 09 января 2025 года № 1-р «Об утверждении штатного расписания администрации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поселения». В 2025 году в штатное расписание администрации     вносились изменения согласно распоряжения  администрации от 01 августа 2025 года № 16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8-р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,о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т 29  августа 2025 года №202-р «О внесении изменений в штатное расписание администрации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поселения».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Структура муниципального образования представлена в форме 0503161 «Сведения о количестве государственных (муниципальных)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учреждений».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 Возглавляет Администрацию Глава муниципального образования (далее Глава). Глава формирует местную администрацию согласно утвержденной Советом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структуре, заключает трудовые договоры с работниками Админ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истрации; является распорядителем кредитов при исполнении местного бюджета; издает распоряжения, постановления в пределах своих полномочий.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Администрация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является главным распорядителем средств бюджета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и обладает следующими бюджетными полномочиями: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1) 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язательств;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2) формирует перечень подведомственных ему распорядителей и получателей бюджетных средств;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3) ведет реестр расходных обязательств, подлежащих исполнению в пределах утвержденных ему лимитов бюджетных обязательств и бюджетных ассигнов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аний;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4) осуществляет планирование соответствующих расходов бюджета, составляет обоснования бюджетных ассигнований;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5) составляет, утверждает и ведет бюджетную роспись, распределяет бюджетные ассигнования, лимиты бюджетных обязательств по подве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домственным распорядителям и получателям бюджетных средств и исполняет соответствующую часть бюджета;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6) вносит предложения по формированию и изменению лимитов бюджетных обязательств;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7) вносит предложения по формированию и изменению сводной бю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джетной росписи;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8) формирует и утверждает муниципальные задания;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9) обеспечивает 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контроль за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соблюдением получателями субсидий, определенных Бюджетным кодексом Российской Федерации, условий, установленных при их предоставлении;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10) орган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изует и осуществляет ведомственный финансовый контроль в сфере своей деятельности;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11) формирует бюджетную отчетность главного распорядителя бюджетных средств;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12) отвечает от имени муниципального образования по денежным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обязательствам подведом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ственных ему получателей бюджетных средств;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13) осуществляет иные бюджетные полномочия, установленные Бюджетным кодексом Российской Федерации и принимаемыми в соответствии с ним нормативными правовыми актами (муниципальными правовыми актами), регулирующими бюджетные правоотношения.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В 202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5 году средства местного бюджета направлялись 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: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 финансирование выплат по Администрации городского поселения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- защиту населения и территорий от чрезвычайных ситуаций и стихийных бедствий природного и техногенного характера;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 осуществление мероприятий в рамках муниципальных программ запланированных на 2025 год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;</w:t>
                        </w:r>
                        <w:proofErr w:type="gramEnd"/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 ремонт и содержание автомобильных дорог общего пользования местного значения;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-мероприятия по  благоустройству общественных территорий; 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-ме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роприятия по благоустройству площади «Аллея героев СВО»        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в р. п. Муромцево; </w:t>
                        </w:r>
                      </w:p>
                      <w:p w:rsidR="00C61329" w:rsidRDefault="003D1DC9">
                        <w:pPr>
                          <w:spacing w:after="100"/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-уличное освещение;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-озеленение;</w:t>
                        </w:r>
                      </w:p>
                      <w:p w:rsidR="00C61329" w:rsidRDefault="003D1DC9">
                        <w:pPr>
                          <w:spacing w:before="100" w:after="100"/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-содержание мест захоронения;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-благоустройство территории;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-массовый спорт;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-организация культурно-массовы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х мероприятий;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-социальные выплаты гражданам.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Администрация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 и Администрация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муниципального района, в состав которого входит поселение, заключили между собой соглашения о передаче друг другу осущ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ествления части своих полномочий, на определенный срок, предоставляемых из соответствующих бюджетов.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Правовое регулирование бухгалтерского учета проходит на 4-х уровнях: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- на первом уровне регулирование осуществляется Бюджетным кодексом РФ, ФЗ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«О бухгалтерском учете», другими федеральными законами, постановлениями Правительства РФ;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 второй уровень – положения бухгалтерского учета и иные правовые акты МФ РФ по вопросам бухгалтерского учета в бюджетных учреждениях;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- третий уровень –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методические указания, инструкции, рекомендации по ведению бухгалтерского учета. Основной документ, формирующий единообразную государственную учетную политику для всех бюджетных учреждений – Инструкция по бухгалтерскому учету в бюджетных учреждениях, утвер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жденная приказом МФ РФ от 28.12.2010 №191-н;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-Приказ МФ РФ от 19.12.2014 №157-н «Об утверждении Указаний о порядке применения бюджетной классификации Российской Федерации»;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- к четвертому уровню относятся рабочие документы муниципального образования, принятие которых предусмотрено Инструкцией по бухгалтерскому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учету в бюджетных учреждениях; распоряжения администрации о проведении инвентаризации; постановление администра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ции поселения об утверждении Положения об учетной политике для целей бухгалтерского (бюджетного) учета.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В связи с введением с 01.01.2018 года федеральных стандартов бухгалтерского учета для организаций государственного сектора, утвержденными приказам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и Минфина России от 31.12.2016 №256н, №257н, №258н, №259н, №269н 29.12.2017 года распоряжением администрации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утверждена учетная политика в новой редакции.                               </w:t>
                        </w:r>
                      </w:p>
                    </w:tc>
                  </w:tr>
                </w:tbl>
                <w:p w:rsidR="00C61329" w:rsidRDefault="00C61329">
                  <w:pPr>
                    <w:spacing w:line="1" w:lineRule="auto"/>
                  </w:pPr>
                </w:p>
              </w:tc>
            </w:tr>
          </w:tbl>
          <w:p w:rsidR="00C61329" w:rsidRDefault="003D1DC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C61329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2 "Результаты деятельности субъекта бюджетной отчетности"</w:t>
            </w:r>
          </w:p>
          <w:p w:rsidR="00C61329" w:rsidRDefault="003D1DC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C61329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C61329" w:rsidRDefault="003D1DC9">
                  <w:pPr>
                    <w:ind w:right="42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Раздел 2 «Результаты деятельности субъекта бюджетной отчетности»</w:t>
                  </w:r>
                </w:p>
                <w:p w:rsidR="00C61329" w:rsidRDefault="00C61329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314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314"/>
                  </w:tblGrid>
                  <w:tr w:rsidR="00C61329">
                    <w:tc>
                      <w:tcPr>
                        <w:tcW w:w="103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Бюджетный процесс в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Муромцевском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городском поселении основывался на нормах Бюджетного кодекса РФ, бюджетного законодательст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ва Омской области, Устава поселения, а также Положения о бюджетном процессе.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Утверждение бюджета на 2025 год  обеспечено до начала финансового года (20.12.2024).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Предельные значения его параметров, установленные ст. 184.1 Бюджетного кодекса РФ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 ст.ст.15,20 Положения о бюджетном процессе, соблюдены.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Верхний предел муниципального долга по состоянию на 01.01.2025 был установлен в сумме равной нулю, в том числе верхний предел долга по муниципальным гарантиям - 0,0 тыс. рублей.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Программ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ой муниципальных заимствований городского поселения на 2025 год  привлечение /погашение/ внутренних заимствований не планировалось.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В течение 2025 года изменения и дополнения в бюджет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вносились 5 раз и были связаны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 корректировкой планируемых налоговых и неналоговых поступлений с учетом уровня их собираемости. Последняя корректировка параметров бюджета принята 30.12.2025.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Ежеквартально, по итогам исполнения бюджета поселения в 2025 году Главой поселения подпис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ывались постановления об утверждении отчета об исполнении бюджета поселения, на заседаниях Совета поселения заслушивалось исполнение бюджета поселения. Бюджетный учет в поселении велся в разрезе классификации, утвержденных приказом Минфина РФ от 21.12.2012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№171н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В течение всего года, Администрацией поселения, ее финансовым отделом проводилась определенная работа, обеспечивающая исполнение бюджета поселения, осуществление контроля  его исполнения, проведением единой финансовой и бюджетной политики.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  Главным распорядителем средств бюджета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осуществлялись мероприятия по повышению эффективности расходования бюджетных средств.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В целях повышения эффективности расходования бюджетных средств установлены месячные лим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иты расходов на связь, утверждены нормы расхода материальных запасов.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 xml:space="preserve">      В соответствии с требованиями ст.215.1 Бюджетного кодекса РФ исполнение бюджета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в 2025 году осуществлялось на основе сводной бюджетной росписи и кассового плана.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Кассовый план исполнения бюджета велся финансов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ым отделом Администрации поселения в соответствии с Порядком составления и ведения кассового плана исполнения бюджета городского поселения.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Осуществление и учет операций по кассовым выплатам из бюджета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ведется в усл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овиях открытия в  УФК по Омской области лицевого счета Администрации поселения.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Годовой отчет об исполнении местного бюджета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за 2025 год составлен на основании бюджетной отчетности Администрации городского поселения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, главного администратора источников финансирования дефицита местного бюджета.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По итогам проведенного анализа результатов деятельности Администрации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в 2025 году следует отметить  следующее: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В рамках исполнения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муниципальных программ администрацией были реализованы следующие основные мероприятия: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По подпрограмме "Модернизация и развитие  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внутрипоселенческих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дорог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" в 2025 году выполнено: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Производилась своевременная расчистка дорог местного значения от снега и подсыпка антигололедными составами во всех населенных пунктах поселения.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Выполнен ремонт автомобильной дорог общего пользования местного значения по улице 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Степная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П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 всем ремонтным работам разрабатывалась сметная документация, и велся строительный контроль.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По данной подпрограмме было утверждено на 2025 год   - 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4 155,80 тыс. рублей, исполнено – 4 155,8 тыс. рублей, в том числе за счет местного бюджета – 469,9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тыс. рублей, за счет областного бюджета – 3685,9 тыс. рублей.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Исполнение составило 100,0%.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Для преображения территории к новогодним праздникам были выполнены работы по украшению фасадов зданий и деревьев. Установлены дополнительные световые иллюминац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ии.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В населенных пунктах выполнялись работы по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обпилу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деревьев, угрожающих жизни людей и способных нанести вред системам ЖКХ. Всего было спилено 78 деревьев.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В рамках развития уличного освещения администрацией поселения построены новые линии ул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ичного освещения, а в целях экономии электричества приобретены и установлены светодиодные светильники уличного освещения.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По договору электроснабжения ежемесячно оплачивается электроэнергия, потребленная уличным освещением, потрачено в 2025 году 1610 т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ыс. рублей. 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В рамках выполнения мероприятий по санитарной очистке территории поселения за 2025 год был вывезен 500 м. куб. мусора, снега.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В рамках непрограммных расходов обеспечивалось функционирование органов власти, проведен анализ выполнения ли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митов потребления коммунальных услуг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за 2024год, 1 полугодие 2025 года.                    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Из бюджета городского поселения кредиты и гарантии администрацией поселения учреждениям не предоставлялись. Муниципального долга нет.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Сведения о результатах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деятельности.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По разделу 01 подразделу 02 бюджет поселения  утвержден  в сумме                1 978 928,85 рублей, исполнение составило в сумме 1 978 928,85 рублей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По разделу 01 подразделу 04 бюджет поселения  утвержден  в сумме 6 497 731,15  р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ублей, исполнение составило в сумме 6 497 731,15  рублей</w:t>
                        </w:r>
                      </w:p>
                      <w:p w:rsidR="00C61329" w:rsidRDefault="003D1DC9">
                        <w:pPr>
                          <w:spacing w:before="100" w:after="100"/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По разделу 01 подразделу 13 бюджет поселения  утвержден  в сумме      18 504 082,03 рублей, исполнение составило в сумме 18 504 082,03 рублей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По разделу 04 подразделу 09 бюджет поселени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я  утвержден  в сумме                    9 889 380,20   рублей, исполнение составило в сумме 9 889 380,20   рублей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 По разделу 04 подразделу 12 бюджет поселения  утвержден  в сумме             54 940,00 рублей, исполнение составило в сумме 54 940,00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рублей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По разделу 05 подразделу 02 бюджет поселения  утвержден  в сумме          1 046 850,00 рублей, исполнение составило в сумме 1 046 850,00рублей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По разделу 05 подразделу 03 бюджет поселения  утвержден  в сумме             8 279 584,19 руб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лей, исполнение составило в сумме 8 279 584.19 рублей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По разделу 08 подразделу 04 бюджет поселения  утвержден  в сумме           578 690,00 рублей, исполнение составило в сумме 578 690,00рублей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  По разделу 10 подразделу 01 бюджет поселени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я  утвержден  в сумме 320 244,52  рублей, исполнение составило в сумме 320 244,52  рублей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По разделу 10 подразделу 03 бюджет поселения  утвержден  в сумме 81 900,00  рублей, исполнение составило в сумме 81 900,00  рублей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По разделу 11 подразд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елу 02 бюджет поселения  утвержден  в сумме             87 758,65 рублей, исполнение составило в сумме 87 758,65 рублей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  2025 году продолжилась тенденция восстановления экономики городского поселения. Для поддержки граждан, ведущих крестьянское хозяйство, предоставляются бесплатные места торговли на территории поселковой ярмарки.  Создаются благоприятные условия  для рабо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ты малых предприятий, ведется работа по организации обучающих курсов основам предпринимательства, а также обеспечивается поддержка вновь образующихся  субъектов малого предпринимательства. Организуются оплачиваемые временные работы для безработных граждан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 предприятиях поселения и временные работы по организации летнего отдыха детей.  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Исполнение доходной части бюджета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без учета безвозмездных поступлений за 2025 год составило 26 270,6 тыс. рублей. Эти доходы местно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го бюджета увеличились  в  сравнении с 2024 годом на 284,7 тыс. рублей, или 1,1 %. Из других уровней бюджета в виде субсидий, дотаций за 2025 год привлечено в местный бюджет 20 485,8 тыс. рублей, что ниже уровня предыдущего года на 15 090,9 тыс. рублей.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Администрация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принимает все меры по корректировке расходной части бюджета в сторону увеличения, при этом, не допуская образования просроченной задолженности за предоставленные товары,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работы и услуги.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Расходы бю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джета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исполнены на             47 320,1 тыс. рублей.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 В 2025 году администрация принимала активное участие в реализации и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софинансировании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региональных долгосрочных целевых программ: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«Совершенствование  и разв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итие автомобильных дорог Омской области».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 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Ежегодно проводится тщательный мониторинг соблюдения нормативов расходов на оплату труда и содержание органов местного самоуправления, установленных постановлением Правительства Омской области.  Так, ф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актическое значение расходов на оплату труда органов местного самоуправления за 2025 год составило 17,9 % от всех расходов.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В целях эффективного расходования средств бюджета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на основании Федерального закона от 05 а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преля 2013 года №44-ФЗ «О контрактной системе в сфере закупок товаров, работ, услуг для обеспечения государственных и муниципальных нужд» и ст. 18 Федерального закона от 26 июля 2006 года №135-ФЗ «О защите конкуренции» проведены в электронной форме аукцион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ы на содержание, на капитальный ремонт и ремонт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автомобильных дорог общего пользования, на благоустройство общественных территорий.</w:t>
                        </w:r>
                      </w:p>
                      <w:p w:rsidR="00C61329" w:rsidRDefault="003D1DC9">
                        <w:pPr>
                          <w:ind w:right="42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</w:t>
                        </w:r>
                      </w:p>
                    </w:tc>
                  </w:tr>
                </w:tbl>
                <w:p w:rsidR="00C61329" w:rsidRDefault="00C61329">
                  <w:pPr>
                    <w:spacing w:line="1" w:lineRule="auto"/>
                  </w:pPr>
                </w:p>
              </w:tc>
            </w:tr>
          </w:tbl>
          <w:p w:rsidR="00C61329" w:rsidRDefault="003D1DC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C61329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3 "Анализ отчета об исполнении бюджета субъектом бюджетной отчетности"</w:t>
            </w:r>
          </w:p>
          <w:p w:rsidR="00C61329" w:rsidRDefault="003D1DC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C61329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C61329" w:rsidRDefault="003D1DC9">
                  <w:pPr>
                    <w:ind w:right="14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Раздел 3 «Анализ отчета об исполнении бюджета субъектом бюджетной отчетности»</w:t>
                  </w:r>
                </w:p>
                <w:p w:rsidR="00C61329" w:rsidRDefault="00C61329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314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314"/>
                  </w:tblGrid>
                  <w:tr w:rsidR="00C61329">
                    <w:tc>
                      <w:tcPr>
                        <w:tcW w:w="103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314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0314"/>
                        </w:tblGrid>
                        <w:tr w:rsidR="00C61329">
                          <w:tc>
                            <w:tcPr>
                              <w:tcW w:w="1031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Бюджет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Муромцевского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городского поселения принят решением Совета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Муромцевского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городского поселения  20 декабря 2024 года № 177 по доходам в сумме 36 781,9 тыс. рублей, по расхо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дам в сумме 36 781,9 тыс. рублей с дефицитом в сумме 0,0 тыс. рублей.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В процессе исполнения бюджета в него вносились изменения, в результате которых уточненный план на 2025 год  по доходам бюджета составил 46 756,4 тыс. рублей, по расходам – 47 320,1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тыс. рублей.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 Исполнение доходной части бюджета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Муромцевского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городского поселения в разрезе собственных доходов за 2025 год   :                  (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тыс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.р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уб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.)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Наименование доходного источника Годовой план      Факт отчетного периода      %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исполнения год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п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лана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1                                                                2                    3                     4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НАЛОГОВЫЕ ДОХОДЫ всего, в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т.ч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 26 270,6         26 270,6    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Налог на доходы физических лиц  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16 253,4           16 253,4    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Налоги на товары (работы, услуги), реализуемые 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на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территории РФ                                               6 018,6              6 018,6              100,0          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          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Налог на совокупный доход (единый с\х налог)         7,2        7,2  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Налог на имущество физических лиц          1459,5         1459,5      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Земельный налог                                  1 635,7       1 635,7    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БЕЗВОЗМЕЗДНЫЕ ПОСТУПЛЕНИЯ всего,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в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т.ч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                                                        20 485,8    20 485,8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Дотации бюджету поселения                 10 799,9     10 799,9  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Субсидии  бюджету посел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ения                       3 685,9   3 685,9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Субсидии на реализацию программ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формирования современной городской среды       6 000,0       6 000,0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ВСЕГО ДОХОДОВ                               46 756,4    46 756,4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 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        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    При составлении и исполнении доходной части бюджета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Муромцевского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городского поселения в 2025 году применялась классификация доходов, утвержденная приказом Минфина РФ 21.12.2012 № 171н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.</w:t>
                              </w:r>
                              <w:proofErr w:type="gramEnd"/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Исполнение доходной части бюджета за 2025 год составило  46 756,4 тыс. рублей  (или   100,0 % от плана отчетного периода). Из полученных доходов: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- собственные  доходы составляют  26 270,6    тыс. рублей  (56,2 % в общих доходах бюджета);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- безвозмездные поступления составляют   20 485,8 тыс. рублей.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По итогам 2025 года в бюджете муниципального образования  основным доходным  источником   является    налог на доходы физических лиц - удельный вес в сумме собственных доходов –61,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9 %, за отчетный период поступило 16 253,4 тыс. рублей. Согласно ст. 61 Бюджетного кодекса РФ норматив отчислений в бюджет поселений по налогу на доходы физических лиц составляет 10%.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Вторым по значимости доходным источником являются налоги на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товары (работы, услуги), реализуемые на территории РФ, в 2025 году, которого поступило    6 018,6 тыс. рублей или 22,9 % собственных доходов.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Третьим по значимости   доходным источником  является земельный налог, за  отчетный период поступило в бюджет 163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5,7  тыс. рублей, что составляет 6,2 %  в сумме собственных доходов.  По сравнению с аналогичным периодом прошлого года данного налога поступило на 118,2 тыс. рублей больше.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Согласно ст. 61 Бюджетного кодекса РФ норматив отчислений в бюджет поселений по зе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мельному налогу составляет 100%.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Также значимым   доходным источником  является налог на имущество физических лиц - удельный вес в сумме собственных доходов – 4,7 %, за отчетный период поступило 1459,5 тыс. рублей. По сравнению с аналогичным периодом прошлого года данного налога поступило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на 146,6 тыс. рублей больше.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Согласно ст. 61 Бюджетного кодекса РФ норматив отчислений в бюджет поселений по налогу на имущество физических лиц составляет 100%.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       В течение года поступил единый сельскохозяйственный налог в сумме 7,2 тыс. р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ублей, туристический налог -127,1 тыс. рублей.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От арендной платы за земли и другого муниципального имущества за 2025 год    поступило 446,7 тыс. рублей, что    составляет 1,7 %  в сумме собственных доходов. В том числе доходов, получаемых в виде арендной платы за земельные участки, госсобственно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сть на которые не разграничена, поступило 197,6 тыс. рублей. Согласно ст.62 Бюджетного кодекса РФ норматив отчислений в бюджет поселений по арендной плате за земли составляет 50%.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Доходы, получаемые в виде арендной платы за земли, находящиеся в собственнос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ти городских поселений – 249,2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тыс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.р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уб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Плата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,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поступившая в рамках договора за предоставление права на размещение и эксплуатацию торг. объектов 125,0 тыс. руб.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Доходы от оказания платных услуг и компенсации затрат ГП 18,8 тыс. рублей.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Доходов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от продажи земельных участков за 2025 год поступило 266,7 тыс. рублей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:</w:t>
                              </w:r>
                              <w:proofErr w:type="gramEnd"/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От продажи земельных участков, государственная собственность на которые не разграничена 421,5 тыс. руб.(50% от выкупной цены земельных участков). Согласно ст.62 Бюджетного кодекса РФ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норматив отчислений в бюджет поселений от продажи земельных участков составляет 50%.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От продажи земельных участков, находящихся в муниципальной собственности - 194,2 тыс. рублей.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От реализации иного имущества, находящегося в собственности го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родского поселения – 43,7 тыс. руб.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Административные платежи и сборы 39,0 тыс. руб.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 Исполнение расходной части бюджета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Муромцевского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городского поселения за 2025 год.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В соответствии со статьей  65 Бюджетного Кодекса для вкл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ючения расходов в местный бюджет, приняты муниципальные нормативные акты, устанавливающие расходные обязательства поселения.  В них установлена обязанность по финансированию, порядок определения объема финансирования и условия финансирования полномочия, за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крепленного за муниципальным образованием федеральным законодательством.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Перечень нормативных актов, устанавливающих расходные обязательства,- «реестр расходных обязательств», ведется финансовым органом поселения.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В соответствии с требованиями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законодательства в течение 2025 года исполнение бюджета поселения осуществлялось по казначейской системе исполнения. Как следствие, усилен предварительный контроль со стороны финансового органа за качеством, представляемых к оплате документов.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В соот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ветствии с требованиями ст.21 БК РФ Решением о бюджете поселения № 71 утверждены отдельными приложениями: «Распределение бюджетных ассигнований  по разделам и подразделам классификации расходов на 2025 год  и плановый период 2026 и 2027 годов» и «Ведомстве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нная структура расходов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местного бюджета на 2025 год  и плановый период 2026 и 2027 годов».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           Кассовый план 2025 года по расходам бюджета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Муромцевского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городского поселения составил 47 320,1 тыс. рублей, исполнение на 1 января 2026 год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а составило 47 320,1 тыс. рублей (100,0%).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Код расходы по ФКР, ЭКР       Наименование показателя     План год         Исполнено на 01.01.26г % исполнения плана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                  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                  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0100       Общегосударственные вопросы    26 980,7        26 980,7        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0102       Функционирование высшего должностного лица субъекта Российской Федерации и муниципального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образования                                                    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1 978,9      1 978,9      100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0104       Функционирование Правительства РФ, высших исполнительных органов государственной власти субъектов РФ, местных администраций            6 497,7        6 497,7        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0113       Другие общегосударстве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нные вопросы  18 504,1     18 504,1     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0400       Национальная экономика      9 944,3      9 944,3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0409       Дорожное хозяйство   9 889,4      9 889,4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0412      Другие вопросы в области национальной экономики 54,9    54,9   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0500       Жилищно-коммунальное хозяйство       9 326,4      9 326,4         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0502       Коммунальное хозяйство      1046,8        1046,8        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0503  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Благоустройство 8 279,6      8 279,6      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0800     Культура, кинематография, средства массовой информации 578,7  578,7   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0804       Другие вопросы в области культуры      578,7   578,7   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1000       Социальная политика  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402,1        402,1      100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1001       Пенсионное обеспечение  320,2    320,2          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1003      Социальное обеспечение населения  81,9     81,9        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1100       Физическая культура и спорт         87,8      87,8   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1102       Массовый спорт          87,8      87,8   100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Расходы бюджета - ИТОГО  47 320,1      47 320,1      100,0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По разделу «Общегосударственные вопросы» исполнение плана на 01.01.2026г. составило 100% уточненного плана.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Подраздел 0102 «Функционирование высшего должностного лица субъекта Российской Федерации и муниципального образования»: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 предусмотрены расходы на содержание главы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Муромцевского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городского поселения (главы администрации), исполнение 1 978,9 тыс.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рублей, или 100%.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Подраздел 0104 «Функционирование Правительства РФ, высших исполнительных органов государственной власти субъектов РФ, местных администраций»: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      предусмотрены расходы на содержание и обеспечение деятельности местной администра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ции в сумме 6 497,7 тыс. рублей. Исполнение на 01.01.26г. составило       6 497,7 тыс. рублей.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Остаток резервного фонда на  01.01.2026г. составляет 0  рублей.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Подраздел 0412 «Другие общегосударственные вопросы» (исполнение 100%):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- по целевой статье 1730229990 предусмотрены расходы на управление муниципальным имуществом, связанные с оценкой недвижимости, признанием прав и регулированием отношений по муниципальной собственности (регистрация права собственности, инвентаризация и пас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портизация объектов недвижимости, оценка недвижимости) на год 54,9 тыс. рублей. Исполнено 54,9 тыс. рублей.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       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По разделу «Национальная экономика» исполнение на 01.01.26г. составило 100,0 % уточненного плана.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Подраздел 040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9 «Дорожное хозяйство» (исполнение 100,0%):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запланированы расходы в соответствии с муниципальной долгосрочной целевой  программой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на капитальный ремонт и ремонт автомобильных дорог общего пользования    местного значения и их содержание    –9 889,4 тыс. рублей; исполнение мероприятий программы на 9 889,4 тыс. рублей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По разделу «Жилищно-коммунальное хозяйство» исполнение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на 01.01.2026г. составило 100,0 %. Удельный вес расходов на жилищно-коммунальное хозяйство в общих расходах бюджета на 2025 год  по плану составляет 19,7%,фактически–19,7 %.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Подраздел 0502 «Коммунальное хозяйство» - 1046,8 тыс. руб.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- Межбюдже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тные трансферты -1000,0 тыс. рублей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.(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водоснабжение-1000,0 тыс. руб.)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- Организация водоснабжения и водоотведения – 1000,0 тыс. руб.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Подраздел 0503 «Благоустройство» (100 %):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- по целевой статье 1710229990 предусмотрены расходы по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уличному освещению (вид расходов 244) и обслуживание сетей уличного освещения в сумме 291,5 тыс. рублей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,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Исполнение на 01.01.26г. составило 291,5 тыс. руб.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- по целевой статье 1710329990 виду расходов 244 предусмотрены расходы на озеленение и содерж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ание зеленых насаждений на территории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Муромцевского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городского поселения в сумме 127,7 тыс. рублей на год, исполнение составило 100%.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- по целевой статье 1710429990 виду расходов 244 предусмотрены расходы на организацию и содержание мест захоронения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в сумме 125,5 тыс. рублей на год, исполнение 125,5 тыс. руб. (100%)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  - по целевой статье 1710529990 расходы производятся в соответствии с потребностью, в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т.ч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.: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виду расходов 244 предусмотрены расходы на прочие мероприятия по благоустрой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ству города  (санитарная очистка и уличная уборка,  проведение мероприятий поселка, содержание бригады по благоустройству) в сумме           1 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418,9 тыс. рублей на год,  на 01.01.2026г.  исполнены    1 418,9 тыс. руб.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По разделу 0800 «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Культура, кинематография» исполнение составило 100%,запланированы расходы 578,7 тыс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р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уб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.,исполнены 578,7 тыс.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руб</w:t>
                              </w:r>
                              <w:proofErr w:type="spellEnd"/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- по  подразделу 0804 запланированы расходы на проведение культурно-массовых мероприятий на территории поселения на год в сумме 578,7 ты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с. рублей. Исполнение 578,7 тыс. рублей, или 100%.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По разделу «Социальная политика» подразделу 1001 «Пенсионное обеспечение» исполнение на 01.01.26г. – 100%.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Запланированы и исполнены расходы по выплате доплаты к муниципальной пенсии -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320,2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тыс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.р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уб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По подразделу 1003 «Социальное обеспечение населения» расходы составили 81,9 тыс. рублей.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Положение о порядке формирования и расходования средств резервного фонда Администрации поселения утверждено Постановлением Администрации.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Б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юджетным кодексом РФ (п.4 ст.81) предусмотрено, что средства резервного фонда направляются на финансирование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ых бедствий и других чрезвычайных ситуаций.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По разделу «Физическая культура и спорт» подразделу 1102 «Массовый спорт» исполнение на 01.01.26г. – 100%.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созданию условий для развития физической культуры и спорта, организации и п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роведению мероприятий, годовой план  утвержден в сумме 87,7 тыс. руб., исполнение  87,7 тыс. рублей.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Сведения об исполнении консолидированного бюджета  (ф. 0503164)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Доходы бюджета поселения составили 46 756,4  тыс. ру</w:t>
                              </w: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блей или 100,0 % исполнения уточненного годового плана.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Расходы бюджета поселения составили 47 320,1 тыс. рублей или 100,0 % исполнения уточненного годового плана.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Сведения об исполнении мероприятий в рамках целевых программ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(ф. 0503166)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</w:t>
                              </w:r>
                            </w:p>
                            <w:p w:rsidR="00C61329" w:rsidRDefault="003D1DC9">
                              <w:pPr>
                                <w:ind w:right="140"/>
                                <w:jc w:val="both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Всего утверждено на 2025 г 2 муниципальные  программы на общую сумму       47 320,1 тыс. рублей, исполнено 47 320,1  или 100,0% от плана.</w:t>
                              </w:r>
                            </w:p>
                          </w:tc>
                        </w:tr>
                        <w:tr w:rsidR="00C61329">
                          <w:tc>
                            <w:tcPr>
                              <w:tcW w:w="1031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1329" w:rsidRDefault="00C61329">
                              <w:pPr>
                                <w:spacing w:line="1" w:lineRule="auto"/>
                                <w:jc w:val="both"/>
                              </w:pPr>
                            </w:p>
                          </w:tc>
                        </w:tr>
                      </w:tbl>
                      <w:p w:rsidR="00C61329" w:rsidRDefault="00C61329">
                        <w:pPr>
                          <w:spacing w:line="1" w:lineRule="auto"/>
                        </w:pPr>
                      </w:p>
                    </w:tc>
                  </w:tr>
                </w:tbl>
                <w:p w:rsidR="00C61329" w:rsidRDefault="00C61329">
                  <w:pPr>
                    <w:spacing w:line="1" w:lineRule="auto"/>
                  </w:pPr>
                </w:p>
              </w:tc>
            </w:tr>
          </w:tbl>
          <w:p w:rsidR="00C61329" w:rsidRDefault="003D1DC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C61329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4 "Анализ показателей бухгалтерской отчетности субъекта бюджетной отчетности"</w:t>
            </w:r>
          </w:p>
          <w:p w:rsidR="00C61329" w:rsidRDefault="003D1DC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C61329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C61329" w:rsidRDefault="003D1DC9">
                  <w:pPr>
                    <w:ind w:right="14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Раздел 4 «Анализ показателей бухгалтерской отчетности субъекта бюджетной отчетности»</w:t>
                  </w:r>
                </w:p>
                <w:p w:rsidR="00C61329" w:rsidRDefault="00C61329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001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01"/>
                  </w:tblGrid>
                  <w:tr w:rsidR="00C61329">
                    <w:tc>
                      <w:tcPr>
                        <w:tcW w:w="100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spacing w:before="100" w:after="100"/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В целях характеристики показателей финансовой отчетности в составе пояснительной за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писки представлены: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Сведения о движении нефинансовых активов (ф. 0503168)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В данной форме отражено движение основных средств, в том числе: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- поступление недвижимого имущества казны на сумму 0,00 рублей 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- поступление непроизводственных активов на сумму 0,00 рублей; остаток непроизводственных активов на 01.01.2026 - 51 496 280,83 руб.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  Наличие основных средств на  начало года составляет 2 577 631,40 рублей, на 01.01.2026 года составляет 2 690 100,4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 рублей. Поступление в течение                   года составило – 156 367,00 руб., выбытие 43 898,00 рублей.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    Остаток на начало года по материальным запасам составил 170 272,61 рублей, на конец отчетного периода 212 538,83 рублей.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По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ступило в текущем году материальных запасов на сумму 4 645 345,88 руб. Выбытие в текущем году составило 4 603 079,66 руб. на собственные нужды администрации.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Сведения о дебиторской и кредиторской задолженности (ф.0503169)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Кредиторская задолженн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ость на 01.01.2026г составляет  1012,01 рублей в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т.ч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.: 415,67 рублей ОО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О»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ОЭК»;596,34 рублей- Ростелеком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Дебиторская задолженность составляет 13</w:t>
                        </w:r>
                        <w:r>
                          <w:rPr>
                            <w:color w:val="FF0000"/>
                            <w:sz w:val="28"/>
                            <w:szCs w:val="28"/>
                          </w:rPr>
                          <w:t> 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500,69  рубле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й-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Газпромнефть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. 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Просроченной дебиторской и кредиторской задолженности на 01.01.2026 года нет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.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Сведения о финансовых вложениях (ф. 0503171)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        Таблица не содержит сведений.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Сведения о муниципальном долге (ф.0503172)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        Таблица не содержит сведений.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Сведения 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изменении остатков валюты баланса (ф. 050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3173)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           Изменение остатков  валюты баланса нет.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Сведения о недостачах и хищения материальных ценностей, денежных средств (ф.0503176)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В соответствии со ст.11 Федерального закона «О бухгалтерском учете» от 23.02.2011 №402 провед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ена плановая инвентаризация активов и обязательств.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       Недостач и хищений не установлено.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"Сведения об остатках денежных средств на счетах получателя бюджетных средств" (ф.0503178)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Остаток средств местного бюджета поселения по состо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янию на 01.01.2025 года при отсутствии плановых назначений составил   1 851 359,17 рублей. На конец отчетного периода  составил 1 287 674,48 рублей.</w:t>
                        </w:r>
                      </w:p>
                      <w:p w:rsidR="00C61329" w:rsidRDefault="003D1DC9">
                        <w:pPr>
                          <w:ind w:right="14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       В 2025 году применялся программно-целевой метод планирования бюджетных ассигнований.</w:t>
                        </w:r>
                      </w:p>
                    </w:tc>
                  </w:tr>
                </w:tbl>
                <w:p w:rsidR="00C61329" w:rsidRDefault="00C61329">
                  <w:pPr>
                    <w:spacing w:line="1" w:lineRule="auto"/>
                  </w:pPr>
                </w:p>
              </w:tc>
            </w:tr>
          </w:tbl>
          <w:p w:rsidR="00C61329" w:rsidRDefault="003D1DC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C61329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5 "Прочие вопросы деятельности субъекта бюджетной отчетности"</w:t>
            </w:r>
          </w:p>
          <w:p w:rsidR="00C61329" w:rsidRDefault="003D1DC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C61329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C61329" w:rsidRDefault="003D1DC9">
                  <w:pPr>
                    <w:ind w:right="28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Раздел 5 «Прочие вопросы деятельности субъекта бюджетной отчетности»</w:t>
                  </w:r>
                </w:p>
                <w:p w:rsidR="00C61329" w:rsidRDefault="00C61329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314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314"/>
                  </w:tblGrid>
                  <w:tr w:rsidR="00C61329">
                    <w:tc>
                      <w:tcPr>
                        <w:tcW w:w="103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spacing w:before="100" w:after="100"/>
                          <w:ind w:right="28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 xml:space="preserve">Главным распорядителем средств бюджета городского поселения проводились мероприятия внутреннего </w:t>
                        </w:r>
                        <w:proofErr w:type="gram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контроля за</w:t>
                        </w:r>
                        <w:proofErr w:type="gram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соблюдением требований бюджетного законодательства, целевым использованием бюджетных средств, а также правильным ведением бюджетного учета. Перед со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ставлением годовой бюджетной отчетности, при смене материально-ответственных лиц проведены инвентаризации. По результатам, которых, расхождений нет, недостач и хищений также нет. Все требования к обеспечению сохранности муниципального имущества соблюдены.</w:t>
                        </w:r>
                      </w:p>
                      <w:p w:rsidR="00C61329" w:rsidRDefault="003D1DC9">
                        <w:pPr>
                          <w:ind w:right="28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Ведение бюджетного учета в Администрации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осуществляется на основании действующих инструкций по бюджетному учету, утвержденных приказами Министерства финансов Российской Федерации. Основные задачи бюджетного учета: ф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ормирование полной и достоверной информации о состоянии активов и обязательств, формирование полной и достоверной информации об исполнении бюджета выполняются.</w:t>
                        </w:r>
                      </w:p>
                      <w:p w:rsidR="00C61329" w:rsidRDefault="003D1DC9">
                        <w:pPr>
                          <w:ind w:right="28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В отчетном периоде ревизионной комиссией Совета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проведе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но контрольное мероприятие  за соблюдением требований бюджетного законодательства, целевого и эффективного использования бюджетных средств, соблюдением финансовой дисциплины, рациональным использованием материальных и финансовых ресурсов, нарушений не выяв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лено.</w:t>
                        </w:r>
                      </w:p>
                      <w:p w:rsidR="00C61329" w:rsidRDefault="003D1DC9">
                        <w:pPr>
                          <w:ind w:right="28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      Финансовый отдел Администрации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Муромцевского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городского поселения постоянно уделяет внимание вопросам методического обеспечения бюджетного учета, дает письменные и устные разъяснения по организации, ведению бюджетного учета, составлению отчетно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сти; проводит со специалистами муниципальных унитарных предприятий совещания, на которых рассматриваются, в том числе, вопросы обеспечения сохранности материальных ценностей, состояния кредиторской задолженности, составления бюджетной отчетности.  В 2025 г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оду проведено два таких совещаний.</w:t>
                        </w:r>
                      </w:p>
                    </w:tc>
                  </w:tr>
                </w:tbl>
                <w:p w:rsidR="00C61329" w:rsidRDefault="00C61329">
                  <w:pPr>
                    <w:spacing w:line="1" w:lineRule="auto"/>
                  </w:pPr>
                </w:p>
              </w:tc>
            </w:tr>
          </w:tbl>
          <w:p w:rsidR="00C61329" w:rsidRDefault="003D1DC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C61329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</w:tbl>
    <w:p w:rsidR="00C61329" w:rsidRDefault="00C61329">
      <w:pPr>
        <w:rPr>
          <w:vanish/>
        </w:rPr>
      </w:pPr>
      <w:bookmarkStart w:id="3" w:name="__bookmark_4"/>
      <w:bookmarkEnd w:id="3"/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C61329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C61329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ИСПОЛНЯЮЩИЙ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ОБЯЗАННОСТИ ГЛАВЫ АДМИНИСТРАЦИИ МУРОМЦЕВСКОГО ГОРОДСКОГО ПОСЕЛЕНИЯ МУРОМЦЕВСКОГО МУНИЦИПАЛЬНОГО РАЙОНА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C61329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Гмырак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Николай Сергеевич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C61329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1329" w:rsidRDefault="003D1DC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C61329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1329" w:rsidRDefault="00C61329">
                  <w:pPr>
                    <w:spacing w:line="1" w:lineRule="auto"/>
                  </w:pPr>
                </w:p>
              </w:tc>
            </w:tr>
            <w:tr w:rsidR="00C61329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C61329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r>
                          <w:rPr>
                            <w:color w:val="000000"/>
                          </w:rPr>
                          <w:t>Сертификат: 00D9788F2BA80634494605AB7D630D2B42</w:t>
                        </w:r>
                      </w:p>
                      <w:p w:rsidR="00C61329" w:rsidRDefault="003D1DC9">
                        <w:r>
                          <w:rPr>
                            <w:color w:val="000000"/>
                          </w:rPr>
                          <w:t xml:space="preserve">Владелец: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Гмырак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Николай Сергеевич</w:t>
                        </w:r>
                      </w:p>
                      <w:p w:rsidR="00C61329" w:rsidRDefault="003D1DC9">
                        <w:r>
                          <w:rPr>
                            <w:color w:val="000000"/>
                          </w:rPr>
                          <w:t>Действителен с 16.09.2025 по 10.12.2026</w:t>
                        </w:r>
                      </w:p>
                      <w:p w:rsidR="00C61329" w:rsidRDefault="003D1DC9">
                        <w:r>
                          <w:rPr>
                            <w:color w:val="000000"/>
                          </w:rPr>
                          <w:t>Дата подписания: 27.01.2026</w:t>
                        </w:r>
                      </w:p>
                    </w:tc>
                  </w:tr>
                </w:tbl>
                <w:p w:rsidR="00C61329" w:rsidRDefault="00C61329">
                  <w:pPr>
                    <w:spacing w:line="1" w:lineRule="auto"/>
                  </w:pPr>
                </w:p>
              </w:tc>
            </w:tr>
            <w:tr w:rsidR="00C61329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C61329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Начальник отдела учета и отчетности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городского поселения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C61329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Мучкаева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Нелли Николаевна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C61329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1329" w:rsidRDefault="003D1DC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C61329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1329" w:rsidRDefault="00C61329">
                  <w:pPr>
                    <w:spacing w:line="1" w:lineRule="auto"/>
                  </w:pPr>
                </w:p>
              </w:tc>
            </w:tr>
            <w:tr w:rsidR="00C61329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C61329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r>
                          <w:rPr>
                            <w:color w:val="000000"/>
                          </w:rPr>
                          <w:t>Сертификат: 76BD3062E6C02E4D4655C018499F23CF</w:t>
                        </w:r>
                      </w:p>
                      <w:p w:rsidR="00C61329" w:rsidRDefault="003D1DC9">
                        <w:r>
                          <w:rPr>
                            <w:color w:val="000000"/>
                          </w:rPr>
                          <w:t xml:space="preserve">Владелец: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Мучкаева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Нелли Николаевна</w:t>
                        </w:r>
                      </w:p>
                      <w:p w:rsidR="00C61329" w:rsidRDefault="003D1DC9">
                        <w:r>
                          <w:rPr>
                            <w:color w:val="000000"/>
                          </w:rPr>
                          <w:t>Действителен с 10.11.2025 по 03.02.2027</w:t>
                        </w:r>
                      </w:p>
                      <w:p w:rsidR="00C61329" w:rsidRDefault="003D1DC9">
                        <w:r>
                          <w:rPr>
                            <w:color w:val="000000"/>
                          </w:rPr>
                          <w:t>Дата подписания: 27.01.2026</w:t>
                        </w:r>
                      </w:p>
                    </w:tc>
                  </w:tr>
                </w:tbl>
                <w:p w:rsidR="00C61329" w:rsidRDefault="00C61329">
                  <w:pPr>
                    <w:spacing w:line="1" w:lineRule="auto"/>
                  </w:pPr>
                </w:p>
              </w:tc>
            </w:tr>
            <w:tr w:rsidR="00C61329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C61329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r>
                    <w:rPr>
                      <w:color w:val="000000"/>
                      <w:sz w:val="28"/>
                      <w:szCs w:val="28"/>
                    </w:rPr>
                    <w:t xml:space="preserve">Начальник отдела учета и отчетности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городского поселения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C61329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Мучкаева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Нелли Николаевна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C61329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1329" w:rsidRDefault="003D1DC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C61329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1329" w:rsidRDefault="00C61329">
                  <w:pPr>
                    <w:spacing w:line="1" w:lineRule="auto"/>
                  </w:pPr>
                </w:p>
              </w:tc>
            </w:tr>
            <w:tr w:rsidR="00C61329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C61329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r>
                          <w:rPr>
                            <w:color w:val="000000"/>
                          </w:rPr>
                          <w:t>Сертификат: 76BD3062E6C02E4D4655C018499F23CF</w:t>
                        </w:r>
                      </w:p>
                      <w:p w:rsidR="00C61329" w:rsidRDefault="003D1DC9">
                        <w:r>
                          <w:rPr>
                            <w:color w:val="000000"/>
                          </w:rPr>
                          <w:t xml:space="preserve">Владелец: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Мучкаева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Нелли Николаевна</w:t>
                        </w:r>
                      </w:p>
                      <w:p w:rsidR="00C61329" w:rsidRDefault="003D1DC9">
                        <w:r>
                          <w:rPr>
                            <w:color w:val="000000"/>
                          </w:rPr>
                          <w:t>Действителен с 10.11.2025 по 03.02.2027</w:t>
                        </w:r>
                      </w:p>
                      <w:p w:rsidR="00C61329" w:rsidRDefault="003D1DC9">
                        <w:r>
                          <w:rPr>
                            <w:color w:val="000000"/>
                          </w:rPr>
                          <w:t>Дата подписания: 27.01.2026</w:t>
                        </w:r>
                      </w:p>
                    </w:tc>
                  </w:tr>
                </w:tbl>
                <w:p w:rsidR="00C61329" w:rsidRDefault="00C61329">
                  <w:pPr>
                    <w:spacing w:line="1" w:lineRule="auto"/>
                  </w:pPr>
                </w:p>
              </w:tc>
            </w:tr>
            <w:tr w:rsidR="00C61329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C61329">
                  <w:pPr>
                    <w:spacing w:line="1" w:lineRule="auto"/>
                  </w:pP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C61329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r>
                    <w:rPr>
                      <w:color w:val="000000"/>
                      <w:sz w:val="28"/>
                      <w:szCs w:val="28"/>
                    </w:rPr>
                    <w:t>12 февраля 2026 г.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</w:tbl>
    <w:p w:rsidR="00C61329" w:rsidRDefault="00C61329">
      <w:pPr>
        <w:sectPr w:rsidR="00C61329">
          <w:headerReference w:type="default" r:id="rId7"/>
          <w:footerReference w:type="default" r:id="rId8"/>
          <w:pgSz w:w="11905" w:h="16837"/>
          <w:pgMar w:top="1133" w:right="566" w:bottom="1133" w:left="1133" w:header="1133" w:footer="1133" w:gutter="0"/>
          <w:cols w:space="720"/>
        </w:sectPr>
      </w:pPr>
    </w:p>
    <w:p w:rsidR="00C61329" w:rsidRDefault="00C61329">
      <w:pPr>
        <w:rPr>
          <w:vanish/>
        </w:rPr>
      </w:pPr>
      <w:bookmarkStart w:id="4" w:name="__bookmark_5"/>
      <w:bookmarkEnd w:id="4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62"/>
      </w:tblGrid>
      <w:tr w:rsidR="00C61329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№3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088" w:type="dxa"/>
            <w:gridSpan w:val="1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закона (решения) о бюджете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 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Причины неисполнения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Статья  6, пункт 1 предельный объем муниципального долга </w:t>
            </w:r>
            <w:proofErr w:type="spellStart"/>
            <w:r>
              <w:rPr>
                <w:color w:val="000000"/>
                <w:sz w:val="28"/>
                <w:szCs w:val="28"/>
              </w:rPr>
              <w:t>Муромцевского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на 2025 год в размере 0,0 тысяч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Муниципальный долг городского поселения в течение 2025 года составил 0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Отсутствие потребности выделения средств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Статья 3 пункт 2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У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твердить объем бюджетных ассигнований дорожного фонда </w:t>
            </w:r>
            <w:proofErr w:type="spellStart"/>
            <w:r>
              <w:rPr>
                <w:color w:val="000000"/>
                <w:sz w:val="28"/>
                <w:szCs w:val="28"/>
              </w:rPr>
              <w:t>Муромцевского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на 2025 год в размере 9889,4 тысяч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2025 год фактическое исполнение составило 9889,4 тысяч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Исполнено 100 процентов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Статья 3 пункт 4 "Создать в местном бюджете резервный фонд Администрации </w:t>
            </w:r>
            <w:proofErr w:type="spellStart"/>
            <w:r>
              <w:rPr>
                <w:color w:val="000000"/>
                <w:sz w:val="28"/>
                <w:szCs w:val="28"/>
              </w:rPr>
              <w:t>Муромцевского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на 2025 год в размере 81,9 </w:t>
            </w:r>
            <w:proofErr w:type="spellStart"/>
            <w:r>
              <w:rPr>
                <w:color w:val="000000"/>
                <w:sz w:val="28"/>
                <w:szCs w:val="28"/>
              </w:rPr>
              <w:t>тыс.руб</w:t>
            </w:r>
            <w:proofErr w:type="gramStart"/>
            <w:r>
              <w:rPr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color w:val="000000"/>
                <w:sz w:val="28"/>
                <w:szCs w:val="28"/>
              </w:rPr>
              <w:t>татья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3 пункт 4 "Создать в местном бюджете резервный фонд Администрации </w:t>
            </w:r>
            <w:proofErr w:type="spellStart"/>
            <w:r>
              <w:rPr>
                <w:color w:val="000000"/>
                <w:sz w:val="28"/>
                <w:szCs w:val="28"/>
              </w:rPr>
              <w:t>Муромцевского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городского поселения на 20</w:t>
            </w:r>
            <w:r>
              <w:rPr>
                <w:color w:val="000000"/>
                <w:sz w:val="28"/>
                <w:szCs w:val="28"/>
              </w:rPr>
              <w:t>25 год в размере 81,9 тысяч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Резервный фонд администрации городского поселения исполнен за 2025 год в сумме 81,9 тысяч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Исполнено 100 процентов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</w:tbl>
    <w:p w:rsidR="00C61329" w:rsidRDefault="00C61329">
      <w:pPr>
        <w:sectPr w:rsidR="00C61329">
          <w:headerReference w:type="default" r:id="rId9"/>
          <w:footerReference w:type="default" r:id="rId10"/>
          <w:pgSz w:w="11905" w:h="16837"/>
          <w:pgMar w:top="1133" w:right="566" w:bottom="1133" w:left="1133" w:header="1133" w:footer="1133" w:gutter="0"/>
          <w:cols w:space="720"/>
        </w:sectPr>
      </w:pPr>
    </w:p>
    <w:p w:rsidR="00C61329" w:rsidRDefault="00C61329">
      <w:pPr>
        <w:rPr>
          <w:vanish/>
        </w:rPr>
      </w:pPr>
      <w:bookmarkStart w:id="5" w:name="__bookmark_6"/>
      <w:bookmarkEnd w:id="5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831"/>
        <w:gridCol w:w="831"/>
        <w:gridCol w:w="831"/>
        <w:gridCol w:w="831"/>
        <w:gridCol w:w="831"/>
        <w:gridCol w:w="831"/>
        <w:gridCol w:w="56"/>
        <w:gridCol w:w="831"/>
        <w:gridCol w:w="831"/>
        <w:gridCol w:w="831"/>
        <w:gridCol w:w="56"/>
        <w:gridCol w:w="56"/>
        <w:gridCol w:w="831"/>
        <w:gridCol w:w="831"/>
        <w:gridCol w:w="831"/>
        <w:gridCol w:w="66"/>
      </w:tblGrid>
      <w:tr w:rsidR="00C61329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№4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101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 ведения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Характеристика применяемого способа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1329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1 10100000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Принимаются к учету по </w:t>
            </w:r>
            <w:proofErr w:type="spellStart"/>
            <w:r>
              <w:rPr>
                <w:color w:val="000000"/>
                <w:sz w:val="28"/>
                <w:szCs w:val="28"/>
              </w:rPr>
              <w:t>превоначальной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стоимости. Изменения первоначальной стоимости производится лишь в случаях </w:t>
            </w:r>
            <w:proofErr w:type="spellStart"/>
            <w:r>
              <w:rPr>
                <w:color w:val="000000"/>
                <w:sz w:val="28"/>
                <w:szCs w:val="28"/>
              </w:rPr>
              <w:t>перероценки</w:t>
            </w:r>
            <w:proofErr w:type="spellEnd"/>
            <w:r>
              <w:rPr>
                <w:color w:val="000000"/>
                <w:sz w:val="28"/>
                <w:szCs w:val="28"/>
              </w:rPr>
              <w:t>, достройки. Единицей учета является инвентарный объект.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1329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1 10400000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</w:t>
            </w:r>
            <w:proofErr w:type="gramStart"/>
            <w:r>
              <w:rPr>
                <w:color w:val="000000"/>
                <w:sz w:val="28"/>
                <w:szCs w:val="28"/>
              </w:rPr>
              <w:t>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года на основные средства начисляется </w:t>
            </w:r>
            <w:proofErr w:type="spellStart"/>
            <w:r>
              <w:rPr>
                <w:color w:val="000000"/>
                <w:sz w:val="28"/>
                <w:szCs w:val="28"/>
              </w:rPr>
              <w:t>ежемясячно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амортизация в размере 1/12 суммы. Срок полезного использования определяется в соответствии с классификацией основных средств, утвержденной постановлением Правительства РФ от 01.01.2002г №1. Моменто</w:t>
            </w:r>
            <w:r>
              <w:rPr>
                <w:color w:val="000000"/>
                <w:sz w:val="28"/>
                <w:szCs w:val="28"/>
              </w:rPr>
              <w:t>м отражения операций в учете является день подписания акта приема-передачи.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Материальные запасы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1329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1 10500000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Материальные запасы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color w:val="000000"/>
                <w:sz w:val="28"/>
                <w:szCs w:val="28"/>
              </w:rPr>
              <w:t>ГСМ, строительные материалы, прочие), готовая продукция, полученная в рамках производственной деятельности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по доходам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1329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1 10600000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Отражаются затраты, которые формируют первоначальную стоимость основных, нематериальных и непроизводственных активов.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Расчеты с поставщиками и подрядчиками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1329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1 20500000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Эти счета используются для отражения доходов и поступлений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Вложения в нефинансовые активы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1329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1 30200000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этих счетах администрация отражает увеличение и уменьшение задолженности перед поставщиками. Кроме того, здесь учитывают и расчеты с персоналом по оплате труда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расходы с кредиторами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1329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1 30300000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Здесь отражают расчеты с бюджетом по налогам и взносам. А именно: налогу на доходы физических лиц, налогу на прибыль, страховых взносов на обязательное </w:t>
            </w:r>
            <w:r>
              <w:rPr>
                <w:color w:val="000000"/>
                <w:sz w:val="28"/>
                <w:szCs w:val="28"/>
              </w:rPr>
              <w:lastRenderedPageBreak/>
              <w:t>социальное страхование, пенсионное страхование и прочее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Расчеты по платежам в бюджеты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1329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1 30400000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этих счетах учитывают: </w:t>
            </w:r>
            <w:proofErr w:type="gramStart"/>
            <w:r>
              <w:rPr>
                <w:color w:val="000000"/>
                <w:sz w:val="28"/>
                <w:szCs w:val="28"/>
              </w:rPr>
              <w:t>-с</w:t>
            </w:r>
            <w:proofErr w:type="gramEnd"/>
            <w:r>
              <w:rPr>
                <w:color w:val="000000"/>
                <w:sz w:val="28"/>
                <w:szCs w:val="28"/>
              </w:rPr>
              <w:t>редства, которые получены во временное распоряжение; удержания из заработной платы; расчеты с депонентами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Финансовый результат хозяйствующего субъекта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1329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1329" w:rsidRDefault="003D1DC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1 40100000</w:t>
                  </w: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этих счетах учитывают: доходы и расходы администрации в разрезе операций. Причем как по бюджетной, так и по внебюджетной деятельности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Н</w:t>
            </w:r>
            <w:proofErr w:type="gramEnd"/>
            <w:r>
              <w:rPr>
                <w:color w:val="000000"/>
                <w:sz w:val="28"/>
                <w:szCs w:val="28"/>
              </w:rPr>
              <w:t>а счете 040130000 "Финансовый результат прошлых отчетных периодов" списывают остатки по счетам доходов и расходов. Сде</w:t>
            </w:r>
            <w:r>
              <w:rPr>
                <w:color w:val="000000"/>
                <w:sz w:val="28"/>
                <w:szCs w:val="28"/>
              </w:rPr>
              <w:t>лать это нужно заключительными записями декабря.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</w:tbl>
    <w:p w:rsidR="00C61329" w:rsidRDefault="00C61329">
      <w:pPr>
        <w:sectPr w:rsidR="00C61329">
          <w:headerReference w:type="default" r:id="rId11"/>
          <w:footerReference w:type="default" r:id="rId12"/>
          <w:pgSz w:w="11905" w:h="16837"/>
          <w:pgMar w:top="1133" w:right="566" w:bottom="1133" w:left="1133" w:header="1133" w:footer="1133" w:gutter="0"/>
          <w:cols w:space="720"/>
        </w:sectPr>
      </w:pPr>
    </w:p>
    <w:p w:rsidR="00C61329" w:rsidRDefault="00C61329">
      <w:pPr>
        <w:rPr>
          <w:vanish/>
        </w:rPr>
      </w:pPr>
      <w:bookmarkStart w:id="6" w:name="__bookmark_7"/>
      <w:bookmarkEnd w:id="6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979"/>
        <w:gridCol w:w="1530"/>
        <w:gridCol w:w="979"/>
        <w:gridCol w:w="979"/>
        <w:gridCol w:w="979"/>
        <w:gridCol w:w="2097"/>
      </w:tblGrid>
      <w:tr w:rsidR="00C61329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№11</w:t>
            </w:r>
          </w:p>
        </w:tc>
      </w:tr>
      <w:tr w:rsidR="00C61329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организационной структуре субъекта бюджетной отчетности</w:t>
            </w:r>
          </w:p>
        </w:tc>
      </w:tr>
      <w:tr w:rsidR="00C61329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Правовое основание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Адрес в пределах места нахождения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Организационно-правовая форма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75404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ОКОПФ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028-2012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наименования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Изменение наименования субъекта отчетности за отчетный период не проводилось.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нормативных правовых актов, регламентирующих деятельность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органа, осуществляющего внешний государственный (муниципальный) финансовый контроль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деятельности субъекта отчетности, созданного на определенный срок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Наименование и место публикации отчета, содержащего информацию о результатах исполнения </w:t>
            </w:r>
            <w:r>
              <w:rPr>
                <w:color w:val="000000"/>
                <w:sz w:val="28"/>
                <w:szCs w:val="28"/>
              </w:rPr>
              <w:lastRenderedPageBreak/>
              <w:t>бюджетной сметы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Наличие государственных (муниципальных) унитарных и казенных предприятий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количества государственных (муниципальных) унитарных и казенных предприятий, произошедшие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состава бюджетных полномочий, произошедшее в отчетном периоде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изменения отсутствуют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Передача полномочий по ведению бюджетного учета иному учреждению (централизованной бухгалтерии)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правопреемственности по всем обязательствам реорганизуемого (преобразуемого) субъекта отчетности в отношении всех кредиторов и должников, включая обязательства, оспариваемые в суде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Иная информация, характеризующая показатели деятельно</w:t>
            </w:r>
            <w:r>
              <w:rPr>
                <w:color w:val="000000"/>
                <w:sz w:val="28"/>
                <w:szCs w:val="28"/>
              </w:rPr>
              <w:t xml:space="preserve">сти </w:t>
            </w:r>
            <w:r>
              <w:rPr>
                <w:color w:val="000000"/>
                <w:sz w:val="28"/>
                <w:szCs w:val="28"/>
              </w:rPr>
              <w:lastRenderedPageBreak/>
              <w:t>реорганизуемого (преобразуемого)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* Общероссийский классификатор организационно-правовых форм </w:t>
            </w:r>
            <w:proofErr w:type="gramStart"/>
            <w:r>
              <w:rPr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028-2012</w:t>
            </w:r>
          </w:p>
        </w:tc>
      </w:tr>
    </w:tbl>
    <w:p w:rsidR="00C61329" w:rsidRDefault="00C61329">
      <w:pPr>
        <w:sectPr w:rsidR="00C61329">
          <w:headerReference w:type="default" r:id="rId13"/>
          <w:footerReference w:type="default" r:id="rId14"/>
          <w:pgSz w:w="11905" w:h="16837"/>
          <w:pgMar w:top="1133" w:right="566" w:bottom="1133" w:left="1133" w:header="1133" w:footer="1133" w:gutter="0"/>
          <w:cols w:space="720"/>
        </w:sectPr>
      </w:pPr>
    </w:p>
    <w:p w:rsidR="00C61329" w:rsidRDefault="00C61329">
      <w:pPr>
        <w:rPr>
          <w:vanish/>
        </w:rPr>
      </w:pPr>
      <w:bookmarkStart w:id="7" w:name="__bookmark_8"/>
      <w:bookmarkEnd w:id="7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979"/>
        <w:gridCol w:w="1530"/>
        <w:gridCol w:w="979"/>
        <w:gridCol w:w="979"/>
        <w:gridCol w:w="2097"/>
        <w:gridCol w:w="979"/>
      </w:tblGrid>
      <w:tr w:rsidR="00C61329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№12</w:t>
            </w:r>
          </w:p>
        </w:tc>
      </w:tr>
      <w:tr w:rsidR="00C61329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 результатах деятельности субъекта бюджетной отчетности</w:t>
            </w:r>
          </w:p>
        </w:tc>
      </w:tr>
      <w:tr w:rsidR="00C61329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временно неэксплуатируемых (неиспользуемых) объектов основных средств,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стоимость объектов основных средств, находящихся в эксплуатации и имеющих нулевую остаточную стоимость</w:t>
            </w:r>
            <w:r>
              <w:rPr>
                <w:i/>
                <w:iCs/>
                <w:color w:val="000000"/>
                <w:sz w:val="28"/>
                <w:szCs w:val="28"/>
              </w:rPr>
              <w:t>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2253,7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объектов основных средств, изъятых из эксплуатации или удерживаемых до их выбытия,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техническо</w:t>
            </w:r>
            <w:r>
              <w:rPr>
                <w:i/>
                <w:iCs/>
                <w:color w:val="000000"/>
                <w:sz w:val="28"/>
                <w:szCs w:val="28"/>
              </w:rPr>
              <w:t>е состояние, эффективность использования, обеспеченность учреждения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основные мероприятия по улучшению состояния и сохранности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характеристика комплектности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</w:tbl>
    <w:p w:rsidR="00C61329" w:rsidRDefault="00C61329">
      <w:pPr>
        <w:sectPr w:rsidR="00C61329">
          <w:headerReference w:type="default" r:id="rId15"/>
          <w:footerReference w:type="default" r:id="rId16"/>
          <w:pgSz w:w="11905" w:h="16837"/>
          <w:pgMar w:top="1133" w:right="566" w:bottom="1133" w:left="1133" w:header="1133" w:footer="1133" w:gutter="0"/>
          <w:cols w:space="720"/>
        </w:sectPr>
      </w:pPr>
    </w:p>
    <w:p w:rsidR="00C61329" w:rsidRDefault="00C61329">
      <w:pPr>
        <w:rPr>
          <w:vanish/>
        </w:rPr>
      </w:pPr>
      <w:bookmarkStart w:id="8" w:name="__bookmark_9"/>
      <w:bookmarkEnd w:id="8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559"/>
        <w:gridCol w:w="1530"/>
        <w:gridCol w:w="559"/>
        <w:gridCol w:w="559"/>
        <w:gridCol w:w="559"/>
        <w:gridCol w:w="559"/>
        <w:gridCol w:w="559"/>
        <w:gridCol w:w="559"/>
        <w:gridCol w:w="2100"/>
      </w:tblGrid>
      <w:tr w:rsidR="00C61329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№14</w:t>
            </w:r>
          </w:p>
        </w:tc>
      </w:tr>
      <w:tr w:rsidR="00C61329">
        <w:trPr>
          <w:trHeight w:val="322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Анализ показателей отчетности субъекта бюджетной отчетности</w:t>
            </w:r>
          </w:p>
        </w:tc>
      </w:tr>
      <w:tr w:rsidR="00C61329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формы по ОКУД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графе 7 разделов 1 и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Показатели со знаком "минус" отсутствуют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графах 5 - 8 раздела 1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Показатели со знаком "минус" отсутствуют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"05 - иные причины возникновения просроченной кредиторской задолженности" раздела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Просроченная кредиторская задолженность отсутствует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"89 - иные причины возникновения просроченной дебиторской задолженности"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Просроченная дебиторская задолженность отсутствует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Несколько причин возникновения просроченной дебиторской (кредиторской) задолженности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Просроченная де</w:t>
            </w:r>
            <w:r>
              <w:rPr>
                <w:i/>
                <w:iCs/>
                <w:color w:val="000000"/>
                <w:sz w:val="28"/>
                <w:szCs w:val="28"/>
              </w:rPr>
              <w:t>биторская (кредиторская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)з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>адолженность отсутствует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1 графа 9 - "06 -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4 графа 7 - "03.5 -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Раздел 1 графа 7 - "99 - иные </w:t>
            </w:r>
            <w:r>
              <w:rPr>
                <w:color w:val="000000"/>
                <w:sz w:val="28"/>
                <w:szCs w:val="28"/>
              </w:rPr>
              <w:lastRenderedPageBreak/>
              <w:t>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"75 -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(пояснения) о некассовых операциях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отсутствует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rPr>
          <w:trHeight w:val="1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</w:tbl>
    <w:p w:rsidR="00C61329" w:rsidRDefault="00C61329">
      <w:pPr>
        <w:sectPr w:rsidR="00C61329">
          <w:headerReference w:type="default" r:id="rId17"/>
          <w:footerReference w:type="default" r:id="rId18"/>
          <w:pgSz w:w="11905" w:h="16837"/>
          <w:pgMar w:top="1133" w:right="566" w:bottom="1133" w:left="1133" w:header="1133" w:footer="1133" w:gutter="0"/>
          <w:cols w:space="720"/>
        </w:sectPr>
      </w:pPr>
    </w:p>
    <w:p w:rsidR="00C61329" w:rsidRDefault="00C61329">
      <w:pPr>
        <w:rPr>
          <w:vanish/>
        </w:rPr>
      </w:pPr>
      <w:bookmarkStart w:id="9" w:name="__bookmark_10"/>
      <w:bookmarkEnd w:id="9"/>
    </w:p>
    <w:tbl>
      <w:tblPr>
        <w:tblOverlap w:val="never"/>
        <w:tblW w:w="9857" w:type="dxa"/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566"/>
        <w:gridCol w:w="566"/>
        <w:gridCol w:w="850"/>
        <w:gridCol w:w="566"/>
        <w:gridCol w:w="566"/>
        <w:gridCol w:w="566"/>
        <w:gridCol w:w="680"/>
        <w:gridCol w:w="680"/>
        <w:gridCol w:w="3118"/>
      </w:tblGrid>
      <w:tr w:rsidR="00C61329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447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№15</w:t>
            </w:r>
          </w:p>
        </w:tc>
      </w:tr>
      <w:tr w:rsidR="00C61329">
        <w:trPr>
          <w:trHeight w:val="322"/>
        </w:trPr>
        <w:tc>
          <w:tcPr>
            <w:tcW w:w="9857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Причины увеличения просроченной задолженности</w:t>
            </w:r>
          </w:p>
        </w:tc>
      </w:tr>
      <w:tr w:rsidR="00C61329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(код) счета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bookmarkStart w:id="10" w:name="_Toc0503169"/>
      <w:bookmarkEnd w:id="10"/>
      <w:tr w:rsidR="00C61329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329" w:rsidRDefault="00C61329">
            <w:pPr>
              <w:rPr>
                <w:vanish/>
              </w:rPr>
            </w:pPr>
            <w:r>
              <w:fldChar w:fldCharType="begin"/>
            </w:r>
            <w:r w:rsidR="003D1DC9">
              <w:instrText xml:space="preserve"> TC "0503169" \f C \l "1"</w:instrText>
            </w:r>
            <w:r>
              <w:fldChar w:fldCharType="end"/>
            </w:r>
          </w:p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8724" w:type="dxa"/>
            <w:gridSpan w:val="10"/>
            <w:vMerge w:val="restart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724" w:type="dxa"/>
              <w:tblLayout w:type="fixed"/>
              <w:tblLook w:val="01E0" w:firstRow="1" w:lastRow="1" w:firstColumn="1" w:lastColumn="1" w:noHBand="0" w:noVBand="0"/>
            </w:tblPr>
            <w:tblGrid>
              <w:gridCol w:w="1698"/>
              <w:gridCol w:w="7026"/>
            </w:tblGrid>
            <w:tr w:rsidR="00C61329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bookmarkStart w:id="11" w:name="__bookmark_11"/>
                <w:bookmarkStart w:id="12" w:name="_TocПричины_увеличения_просроченной_деби"/>
                <w:bookmarkEnd w:id="11"/>
                <w:bookmarkEnd w:id="12"/>
                <w:p w:rsidR="00C61329" w:rsidRDefault="00C61329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3D1DC9">
                    <w:instrText xml:space="preserve"> TC "Причины увеличения просроченной дебиторской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C61329" w:rsidRDefault="003D1DC9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дебиторской задолженности по сравнению с показателями за аналогичный период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C61329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1329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1329" w:rsidRDefault="003D1DC9">
                              <w:pPr>
                                <w:jc w:val="center"/>
                              </w:pPr>
                              <w:bookmarkStart w:id="13" w:name="__bookmark_12"/>
                              <w:bookmarkEnd w:id="13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100</w:t>
                              </w:r>
                            </w:p>
                          </w:tc>
                        </w:tr>
                      </w:tbl>
                      <w:p w:rsidR="00C61329" w:rsidRDefault="00C613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Просроченная дебиторская задолженность отсутствует</w:t>
                        </w:r>
                      </w:p>
                    </w:tc>
                  </w:tr>
                  <w:tr w:rsidR="00C61329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C61329" w:rsidRDefault="00C61329">
                  <w:pPr>
                    <w:spacing w:line="1" w:lineRule="auto"/>
                  </w:pPr>
                </w:p>
              </w:tc>
            </w:tr>
            <w:bookmarkStart w:id="14" w:name="_TocПричины_увеличения_просроченной_кред"/>
            <w:bookmarkEnd w:id="14"/>
            <w:tr w:rsidR="00C61329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1329" w:rsidRDefault="00C61329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3D1DC9">
                    <w:instrText xml:space="preserve"> TC "Причины увеличения просроченной кредиторской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C61329" w:rsidRDefault="003D1DC9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кредиторской задолженности по сравнению с показателями за аналогичный п</w:t>
                  </w:r>
                  <w:r>
                    <w:rPr>
                      <w:color w:val="000000"/>
                      <w:sz w:val="28"/>
                      <w:szCs w:val="28"/>
                    </w:rPr>
                    <w:t>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C61329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1329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1329" w:rsidRDefault="003D1DC9">
                              <w:pPr>
                                <w:jc w:val="center"/>
                              </w:pPr>
                              <w:bookmarkStart w:id="15" w:name="__bookmark_13"/>
                              <w:bookmarkEnd w:id="15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200</w:t>
                              </w:r>
                            </w:p>
                          </w:tc>
                        </w:tr>
                      </w:tbl>
                      <w:p w:rsidR="00C61329" w:rsidRDefault="00C6132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Просроченная  кредиторская задолженность отсутствует</w:t>
                        </w:r>
                      </w:p>
                    </w:tc>
                  </w:tr>
                  <w:tr w:rsidR="00C61329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1329" w:rsidRDefault="003D1DC9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C61329" w:rsidRDefault="00C61329">
                  <w:pPr>
                    <w:spacing w:line="1" w:lineRule="auto"/>
                  </w:pPr>
                </w:p>
              </w:tc>
            </w:tr>
          </w:tbl>
          <w:p w:rsidR="00C61329" w:rsidRDefault="00C61329">
            <w:pPr>
              <w:spacing w:line="1" w:lineRule="auto"/>
            </w:pPr>
          </w:p>
        </w:tc>
      </w:tr>
      <w:tr w:rsidR="00C61329"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118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</w:tbl>
    <w:p w:rsidR="00C61329" w:rsidRDefault="00C61329">
      <w:pPr>
        <w:sectPr w:rsidR="00C61329">
          <w:headerReference w:type="default" r:id="rId19"/>
          <w:footerReference w:type="default" r:id="rId20"/>
          <w:pgSz w:w="11905" w:h="16837"/>
          <w:pgMar w:top="1133" w:right="566" w:bottom="1133" w:left="1133" w:header="1133" w:footer="1133" w:gutter="0"/>
          <w:cols w:space="720"/>
        </w:sectPr>
      </w:pPr>
    </w:p>
    <w:p w:rsidR="00C61329" w:rsidRDefault="00C61329">
      <w:pPr>
        <w:rPr>
          <w:vanish/>
        </w:rPr>
      </w:pPr>
      <w:bookmarkStart w:id="16" w:name="__bookmark_14"/>
      <w:bookmarkEnd w:id="16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81"/>
      </w:tblGrid>
      <w:tr w:rsidR="00C61329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383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№16</w:t>
            </w:r>
          </w:p>
        </w:tc>
      </w:tr>
      <w:tr w:rsidR="00C61329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вопросы деятельности субъекта бюджетной отчетности</w:t>
            </w:r>
          </w:p>
        </w:tc>
      </w:tr>
      <w:tr w:rsidR="00C61329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  <w:tc>
          <w:tcPr>
            <w:tcW w:w="12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rPr>
          <w:trHeight w:val="68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отчета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C6132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C6132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 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инвентаризация проведена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Излишек и недостач не обнаружено</w:t>
            </w:r>
          </w:p>
        </w:tc>
      </w:tr>
      <w:tr w:rsidR="00C6132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о задолженности по исполнительным документам и о правовом основании ее возникновения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Задолженность отсутствует</w:t>
            </w:r>
          </w:p>
        </w:tc>
      </w:tr>
      <w:tr w:rsidR="00C6132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Корреспонденция счетов бюджетного учета, утвержденная субъектом учета (централизованной бухгалтерии)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форм отчетности, не включенных в состав бюджетной отчетности за отчетный период ввиду отсутствия числовых значений показателей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0503184; 0503324; 0503178_1; 0503155_АУ; 0503111; 0503190; 0503175; 0503155_БУ; 0503296; 0503174; 0503155_ИНЫЕ; 0503168_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КОРР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>; 0503173_3; 0503171; 0503172; 0503167; 0503154; 0503121_КОРР; 0503110_130_КОРР;</w:t>
            </w:r>
          </w:p>
        </w:tc>
      </w:tr>
      <w:tr w:rsidR="00C6132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329" w:rsidRDefault="00C61329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  <w:jc w:val="center"/>
            </w:pPr>
          </w:p>
        </w:tc>
      </w:tr>
      <w:tr w:rsidR="00C6132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3D1DC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1329">
        <w:trPr>
          <w:trHeight w:val="1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329" w:rsidRDefault="00C61329">
            <w:pPr>
              <w:spacing w:line="1" w:lineRule="auto"/>
            </w:pPr>
          </w:p>
        </w:tc>
      </w:tr>
    </w:tbl>
    <w:p w:rsidR="003D1DC9" w:rsidRDefault="003D1DC9"/>
    <w:sectPr w:rsidR="003D1DC9" w:rsidSect="00C61329">
      <w:headerReference w:type="default" r:id="rId21"/>
      <w:footerReference w:type="default" r:id="rId22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DC9" w:rsidRDefault="003D1DC9" w:rsidP="00C61329">
      <w:r>
        <w:separator/>
      </w:r>
    </w:p>
  </w:endnote>
  <w:endnote w:type="continuationSeparator" w:id="0">
    <w:p w:rsidR="003D1DC9" w:rsidRDefault="003D1DC9" w:rsidP="00C6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DC9" w:rsidRDefault="003D1DC9" w:rsidP="00C61329">
      <w:r>
        <w:separator/>
      </w:r>
    </w:p>
  </w:footnote>
  <w:footnote w:type="continuationSeparator" w:id="0">
    <w:p w:rsidR="003D1DC9" w:rsidRDefault="003D1DC9" w:rsidP="00C61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1329">
      <w:trPr>
        <w:trHeight w:val="56"/>
      </w:trPr>
      <w:tc>
        <w:tcPr>
          <w:tcW w:w="10421" w:type="dxa"/>
        </w:tcPr>
        <w:p w:rsidR="00C61329" w:rsidRDefault="00C6132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329"/>
    <w:rsid w:val="003D1DC9"/>
    <w:rsid w:val="008B7078"/>
    <w:rsid w:val="00C6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613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613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6880</Words>
  <Characters>39222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2026-03-10T06:31:00Z</dcterms:created>
  <dcterms:modified xsi:type="dcterms:W3CDTF">2026-03-10T06:31:00Z</dcterms:modified>
</cp:coreProperties>
</file>