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7D71D2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7D71D2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D71D2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7D71D2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7D71D2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7D71D2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7D71D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7D71D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  <w:jc w:val="center"/>
                  </w:pP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</w:tr>
      <w:tr w:rsidR="007D71D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Мысовского сельского поселения Муромцевского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7D71D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52634425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D71D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7D71D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D71D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7D71D2" w:rsidRDefault="007D71D2">
      <w:pPr>
        <w:rPr>
          <w:vanish/>
        </w:rPr>
      </w:pPr>
      <w:bookmarkStart w:id="2" w:name="__bookmark_3"/>
      <w:bookmarkEnd w:id="2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7D71D2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D71D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Штатная численность работающих в администрации Мысовского сельского поселения.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В Администрации Мысовского сельского поселения Муромцевского муниципального района Омской области по штатному расписанию для содержания аппарата управления на </w:t>
                  </w:r>
                  <w:r>
                    <w:rPr>
                      <w:color w:val="FF0000"/>
                      <w:sz w:val="28"/>
                      <w:szCs w:val="28"/>
                    </w:rPr>
                    <w:t>01.01.2025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числят</w:t>
                  </w:r>
                  <w:r>
                    <w:rPr>
                      <w:color w:val="000000"/>
                      <w:sz w:val="28"/>
                      <w:szCs w:val="28"/>
                    </w:rPr>
                    <w:t>ся 5 человек или 4,25 штатных единиц, из них четыре муниципальных служащих:</w:t>
                  </w:r>
                </w:p>
                <w:p w:rsidR="007D71D2" w:rsidRDefault="003518A1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Глава Администрации в количестве одной единицы, специалисты 1 категорий 2 единицы (секретарь и бухгалтер (финансист)) и один - Специалист 2 категории (статист), а так же работники </w:t>
                  </w:r>
                  <w:r>
                    <w:rPr>
                      <w:color w:val="000000"/>
                      <w:sz w:val="28"/>
                      <w:szCs w:val="28"/>
                    </w:rPr>
                    <w:t>органов местного самоуправления, замещающих должности, не являющиеся должностями муниципальной службы водитель – 1 единица и уборщица – 0,25 единицы.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Свободных вакансий по состоянию на </w:t>
                  </w:r>
                  <w:r>
                    <w:rPr>
                      <w:color w:val="FF0000"/>
                      <w:sz w:val="28"/>
                      <w:szCs w:val="28"/>
                    </w:rPr>
                    <w:t>01.01.2025</w:t>
                  </w:r>
                  <w:r>
                    <w:rPr>
                      <w:color w:val="000000"/>
                      <w:sz w:val="28"/>
                      <w:szCs w:val="28"/>
                    </w:rPr>
                    <w:t>г. в Администрации Мысовского сельского поселения Муромцевско</w:t>
                  </w:r>
                  <w:r>
                    <w:rPr>
                      <w:color w:val="000000"/>
                      <w:sz w:val="28"/>
                      <w:szCs w:val="28"/>
                    </w:rPr>
                    <w:t>го муниципального района Омской области нет.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Представленные показатели бухгалтерской (финансовой) отчетности Учреждения сформированы исходя из нормативных правовых актов, регулирующих ведение бюджетного учета и составление бюджетной отчетности, а именно: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hyperlink r:id="rId7" w:history="1">
                    <w:r>
                      <w:rPr>
                        <w:rStyle w:val="a3"/>
                        <w:sz w:val="28"/>
                        <w:szCs w:val="28"/>
                      </w:rPr>
                      <w:t>Инструкции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по применению единого плана счетов бухгалтерского учета для государственных органов власти (государственных органов), органов местного самоуправления, органов управления госуда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рственными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внебюджетными фондами, государственных академий наук, государственных (муниципальных) учреждений, утвержденной </w:t>
                  </w:r>
                  <w:hyperlink r:id="rId8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01.12.2010 N 157н;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9" w:history="1">
                    <w:r>
                      <w:rPr>
                        <w:rStyle w:val="a3"/>
                        <w:sz w:val="28"/>
                        <w:szCs w:val="28"/>
                      </w:rPr>
                      <w:t>Инструкции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по применению Плана счетов бюджетного учета, утвержденной </w:t>
                  </w:r>
                  <w:hyperlink r:id="rId10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06.12.2010 N 162н;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11" w:history="1">
                    <w:r>
                      <w:rPr>
                        <w:rStyle w:val="a3"/>
                        <w:sz w:val="28"/>
                        <w:szCs w:val="28"/>
                      </w:rPr>
                      <w:t>Инструкции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</w:t>
                  </w:r>
                  <w:hyperlink r:id="rId12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28.12.2010 N 191н;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13" w:history="1">
                    <w:r>
                      <w:rPr>
                        <w:rStyle w:val="a3"/>
                        <w:sz w:val="28"/>
                        <w:szCs w:val="28"/>
                      </w:rPr>
                      <w:t>Федерального стандарта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бухгалтерского учета для организаций государственного сектора "Концептуаль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ные основы бухгалтерского учета и отчетности организаций государственного сектора", утвержденного </w:t>
                  </w:r>
                  <w:hyperlink r:id="rId14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31.12.2017 N 256н;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15" w:history="1">
                    <w:r>
                      <w:rPr>
                        <w:rStyle w:val="a3"/>
                        <w:sz w:val="28"/>
                        <w:szCs w:val="28"/>
                      </w:rPr>
                      <w:t>Федерального стандарта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бухгалтерского учета для организаций государственного сектора "Основные средства", утвержденного </w:t>
                  </w:r>
                  <w:hyperlink r:id="rId16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31.12.2017 N 257н;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17" w:history="1">
                    <w:r>
                      <w:rPr>
                        <w:rStyle w:val="a3"/>
                        <w:sz w:val="28"/>
                        <w:szCs w:val="28"/>
                      </w:rPr>
                      <w:t>Федерального стандарта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бухгалтерского учета для организаций государственного сектора "Аренда", утвержденного </w:t>
                  </w:r>
                  <w:hyperlink r:id="rId18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</w:t>
                  </w:r>
                  <w:r>
                    <w:rPr>
                      <w:color w:val="000000"/>
                      <w:sz w:val="28"/>
                      <w:szCs w:val="28"/>
                    </w:rPr>
                    <w:t>на России от 31.12.2017 N 258н;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19" w:history="1">
                    <w:r>
                      <w:rPr>
                        <w:rStyle w:val="a3"/>
                        <w:sz w:val="28"/>
                        <w:szCs w:val="28"/>
                      </w:rPr>
                      <w:t>Федерального стандарта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бухгалтерского учета для организаций государственного сектора "Представление бухгалтерской (финансовой) отчетности", утвержденного </w:t>
                  </w:r>
                  <w:hyperlink r:id="rId20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Минфина России от 31.12.2017 N 260н;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Учреждение отражает в учете следующие учетные оценки: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1. Резерв предстоящих расходов на предоставление отпусков (включая расходы на уплату страх</w:t>
                  </w:r>
                  <w:r>
                    <w:rPr>
                      <w:color w:val="000000"/>
                      <w:sz w:val="28"/>
                      <w:szCs w:val="28"/>
                    </w:rPr>
                    <w:t>овых взносов). Данный резерв рассчитывается и корректируется ежеквартально. На первое число очередного квартала резерв рассчитывается исходя из данных количества дней неиспользованного отпуска по всем сотрудникам на указанную дату, предоставленных кадровой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службой. Учреждение применяет порядок расчета, приведенный в </w:t>
                  </w:r>
                  <w:hyperlink r:id="rId21" w:history="1">
                    <w:r>
                      <w:rPr>
                        <w:rStyle w:val="a3"/>
                        <w:sz w:val="28"/>
                        <w:szCs w:val="28"/>
                      </w:rPr>
                      <w:t>Приложении 3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к письму Минфина России от 20.05.2015 N 02-07-07/28998.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2. Доходы будущих периодов</w:t>
                  </w:r>
                </w:p>
              </w:tc>
            </w:tr>
          </w:tbl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D71D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D71D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Администрация Мысовского сельского поселения Муромцевского муниципального района Омской области в своей деятельности руководствуется: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22" w:history="1">
                    <w:r>
                      <w:rPr>
                        <w:rStyle w:val="a3"/>
                        <w:sz w:val="28"/>
                        <w:szCs w:val="28"/>
                      </w:rPr>
                      <w:t>Конституцией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Российской Федерации;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23" w:history="1">
                    <w:r>
                      <w:rPr>
                        <w:rStyle w:val="a3"/>
                        <w:sz w:val="28"/>
                        <w:szCs w:val="28"/>
                      </w:rPr>
                      <w:t>Бюджетным кодексом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Российской Федерации;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Федеральным законом от 06.12.2011г. № 402-ФЗ «О бухгалтерском учете»;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</w:t>
                  </w:r>
                  <w:hyperlink r:id="rId24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 Министерства финансов Российской Федерации от 1 декабря 2010 года № 157н «Об утверждении Единого плана счетов бухгалтерского учета для органов государственной власти (государственных орган</w:t>
                    </w:r>
                    <w:r>
                      <w:rPr>
                        <w:rStyle w:val="a3"/>
                        <w:sz w:val="28"/>
                        <w:szCs w:val="28"/>
                      </w:rPr>
                      <w:t xml:space="preserve">ов), органов </w:t>
                    </w:r>
                    <w:r>
                      <w:rPr>
                        <w:rStyle w:val="a3"/>
                        <w:sz w:val="28"/>
                        <w:szCs w:val="28"/>
                      </w:rPr>
                      <w:lastRenderedPageBreak/>
                      <w:t>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(далее – Инструкция № 157н);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</w:t>
                  </w:r>
                  <w:hyperlink r:id="rId25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 Министерства финансов Российской Федерации от 6 декабря 2010 года № 162н «Об утверждении Плана счетов бюджетного учета и Инструкции по его применению»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(далее – Инструкция № 162н);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</w:t>
                  </w:r>
                  <w:hyperlink r:id="rId26" w:history="1">
                    <w:r>
                      <w:rPr>
                        <w:rStyle w:val="a3"/>
                        <w:sz w:val="28"/>
                        <w:szCs w:val="28"/>
                      </w:rPr>
                      <w:t>Приказом Министерства финансов Российской Федерации от 15 декабря 2010 года № 173н «Об утверждении форм первичных учетных документов и регистров бухгалтерского учета, примен</w:t>
                    </w:r>
                    <w:r>
                      <w:rPr>
                        <w:rStyle w:val="a3"/>
                        <w:sz w:val="28"/>
                        <w:szCs w:val="28"/>
                      </w:rPr>
                      <w:t>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</w:t>
                    </w:r>
                    <w:r>
                      <w:rPr>
                        <w:rStyle w:val="a3"/>
                        <w:sz w:val="28"/>
                        <w:szCs w:val="28"/>
                      </w:rPr>
                      <w:t xml:space="preserve"> указаний по их применению»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(далее – Инструкция № 173н);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</w:t>
                  </w:r>
                  <w:hyperlink r:id="rId27" w:history="1">
                    <w:r>
                      <w:rPr>
                        <w:rStyle w:val="a3"/>
                        <w:sz w:val="28"/>
                        <w:szCs w:val="28"/>
                      </w:rPr>
                      <w:t xml:space="preserve">Приказом Министерства финансов Российской Федерации от 28 декабря 2010 года № 191н «Об утверждении Инструкции о </w:t>
                    </w:r>
                    <w:r>
                      <w:rPr>
                        <w:rStyle w:val="a3"/>
                        <w:sz w:val="28"/>
                        <w:szCs w:val="28"/>
                      </w:rPr>
                      <w:t>порядке составления и представления годовой, квартальной и месячной отчетности об исполнении бюджетов бюджетной системы Российской Федерации»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(далее – Инструкция № 191н);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Приказом Министерства финансов Российской Федерации от 30 марта 2015 года № 52н «Об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утверждении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</w:t>
                  </w:r>
                  <w:r>
                    <w:rPr>
                      <w:color w:val="000000"/>
                      <w:sz w:val="28"/>
                      <w:szCs w:val="28"/>
                    </w:rPr>
                    <w:t>твенными (муниципальными) учреждениями»;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Приказом Министерства финансов Омской области от 01 июля 2013 года № 65н «Об утверждении указаний о порядке применения бюджетной классификации Российской Федерации»;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 иными законами и нормативными правовыми актами Российской Федерации и принимаемыми в соответствии с ними законами и иными нормативными правовыми актами Омской области, решениями Главы Администрации сельского поселения.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Администрации Мысовского сельско</w:t>
                  </w:r>
                  <w:r>
                    <w:rPr>
                      <w:color w:val="000000"/>
                      <w:sz w:val="28"/>
                      <w:szCs w:val="28"/>
                    </w:rPr>
                    <w:t>го поселения осуществляется постоянный контроль за экономным и целевым использованием бюджетных средств.</w:t>
                  </w:r>
                </w:p>
              </w:tc>
            </w:tr>
          </w:tbl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D71D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D71D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Информация об исполнении бюджетной сметы в разрезе кодов бюджетной классификации отражена в форме "Сведения об исполнении бюджета" (</w:t>
                  </w:r>
                  <w:hyperlink r:id="rId28" w:history="1">
                    <w:r>
                      <w:rPr>
                        <w:rStyle w:val="a3"/>
                        <w:sz w:val="28"/>
                        <w:szCs w:val="28"/>
                      </w:rPr>
                      <w:t>ф. 0503164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).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Результаты исполнения бюджетных назначени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й представлены в </w:t>
                  </w:r>
                  <w:hyperlink r:id="rId29" w:history="1">
                    <w:r>
                      <w:rPr>
                        <w:rStyle w:val="a3"/>
                        <w:sz w:val="28"/>
                        <w:szCs w:val="28"/>
                      </w:rPr>
                      <w:t>форме 0503127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"Отчет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</w:t>
                  </w:r>
                  <w:r>
                    <w:rPr>
                      <w:color w:val="000000"/>
                      <w:sz w:val="28"/>
                      <w:szCs w:val="28"/>
                    </w:rPr>
                    <w:t>ирования дефицита бюджета, главного администратора, администратора доходов бюджета".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Доходы Мысовского сельского поселения на 2025 год утверждены в сумме 5 858 783,75 рублей, исполнены на сумму 5 858 783,75 рублей, что составило 100,0 % от утвержденных дох</w:t>
                  </w:r>
                  <w:r>
                    <w:rPr>
                      <w:color w:val="000000"/>
                      <w:sz w:val="28"/>
                      <w:szCs w:val="28"/>
                    </w:rPr>
                    <w:t>одов. По сравнению с 2024 годом уровень доходов увеличился на 130 912,65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Налоговых и неналоговых доходов в 2025 году поступило в сумме 2 822 539,62 рублей. По сравнению с 2024 годом налоговые и неналоговые доходы увеличились на 87 505,53 рублей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Нал</w:t>
                  </w:r>
                  <w:r>
                    <w:rPr>
                      <w:color w:val="000000"/>
                      <w:sz w:val="28"/>
                      <w:szCs w:val="28"/>
                    </w:rPr>
                    <w:t>ог на доходы физических лиц поступило 183 580,56 рублей по сравнению с 2024 годом, увеличение составило 41 859,68 рублей. 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Доходы от акцизов по подакцизным товарам (продукции), производимым на территории Российской Федерации в 2025 году по сравнению с 2024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годом увеличилось на 3 349,62 рублей, и составили 1 279 079,25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Единый сельскохозяйственный налог в 2025 году поступил в сумме 256,00 рублей и уменьшился по сравнению с 2024г. на 2 099,50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Налог на имущество физических лиц, взимаемый по став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кам, применяемым к объектам налогообложения, расположенным в границах сельских поселений по сравнению с первоначальным планом на 2025 год в 57 000,00 рублей поступило больше на 2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005,57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 и составило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59005,57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рублей. Увеличились поступления по земельн</w:t>
                  </w:r>
                  <w:r>
                    <w:rPr>
                      <w:color w:val="000000"/>
                      <w:sz w:val="28"/>
                      <w:szCs w:val="28"/>
                    </w:rPr>
                    <w:t>ому налогу, если в 2024 г. поступило 188 898,44 рублей, то в 2025 году – 332 441,84 рублей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Исполнение государственной пошлины за совершение нотариальных действий должностными лицами органов местного самоуправления, уполномоченными в соответствии с законода</w:t>
                  </w:r>
                  <w:r>
                    <w:rPr>
                      <w:color w:val="000000"/>
                      <w:sz w:val="28"/>
                      <w:szCs w:val="28"/>
                    </w:rPr>
                    <w:t>тельными актами Российской Федерации на совершение нотариальных действий в сравнении с первоначальным планом на 2025 год больше на 6 400,00 рублей и составило 21 400,00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платы за земельные участки, в 2025 году уменьшились по сравнению с 2024 годом на 107 657,83 рублей и составили 946 776,40 рублей в связи с тем, что уменьшилось количество заключенных договоров аренды.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Безвозмездные поступ</w:t>
                  </w:r>
                  <w:r>
                    <w:rPr>
                      <w:color w:val="000000"/>
                      <w:sz w:val="28"/>
                      <w:szCs w:val="28"/>
                    </w:rPr>
                    <w:t>ления (дотации, субсидии и субвенции) от других бюджетов бюджетной системы Российской Федерации исполнены на 100,00 % и составляют 3 036 244,13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Структура безвозмездные поступления включают в себя: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дотации бюджетам поселений на выравнивание бюджет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ной обеспеченности в сумме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2823123,50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субвенции бюджетам поселений на осуществление первичного воинского учета на территориях, где отсутствуют военные комиссариаты, в сумме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136232,00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44 000,00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прочие межбюджетные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трансферты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32888,63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За счет поступлений дотации бюджетам сельских поселений на поддержку мер по обеспечению сбалансированности бюджетов и прочих межбюджетных трансфертов сумма безвозмездных поступлений в 2025 году увеличилась по сравнению с 2024 г</w:t>
                  </w:r>
                  <w:r>
                    <w:rPr>
                      <w:color w:val="000000"/>
                      <w:sz w:val="28"/>
                      <w:szCs w:val="28"/>
                    </w:rPr>
                    <w:t>одом на 43 407,12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Остаток средств на едином счете бюджета на конец года составил – 169 838,24 рублей.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Исполнение бюджета по расходам за 2025 год.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бюджета Мысовского сельского поселения за 2025 год исполнены в объеме 5 975 060,90 рублей ув</w:t>
                  </w:r>
                  <w:r>
                    <w:rPr>
                      <w:color w:val="000000"/>
                      <w:sz w:val="28"/>
                      <w:szCs w:val="28"/>
                    </w:rPr>
                    <w:t>еличились и составляют 102,3 процентов при плановых назначениях в сумме 5 837 776,27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Сумма расходов по коду БК «Общегосударственные вопросы» в 2025 году составила 3 163 642,41 рублей или 52,9 % в общем объеме расходов. Сюда входят расходы на: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1) фу</w:t>
                  </w:r>
                  <w:r>
                    <w:rPr>
                      <w:color w:val="000000"/>
                      <w:sz w:val="28"/>
                      <w:szCs w:val="28"/>
                    </w:rPr>
                    <w:t>нкционирование высшего должностного лица субъекта Российской Федерации и муниципального образования (глава Мысовского сельского поселения) в сумме 924 254,99 рублей, из которых: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заработная плата – 709 873,26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начисления на выплаты по оплате труд</w:t>
                  </w:r>
                  <w:r>
                    <w:rPr>
                      <w:color w:val="000000"/>
                      <w:sz w:val="28"/>
                      <w:szCs w:val="28"/>
                    </w:rPr>
                    <w:t>а – 214 381,73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2) функционирование местной администрации в сумме 2 060 579,97 рублей, из них: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заработная плата работников аппарата управления – 1 260 225,49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начисления на выплаты по оплате труда – 375 565,40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– расходы на услуги </w:t>
                  </w:r>
                  <w:r>
                    <w:rPr>
                      <w:color w:val="000000"/>
                      <w:sz w:val="28"/>
                      <w:szCs w:val="28"/>
                    </w:rPr>
                    <w:t>связи – 39 583,48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ТКО – 13 433,16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образовательные услуги – 16 000,00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страхование автомобиля – 7 065,61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принтер МФУ – 19 999,00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ГСМ – 180 340,83 рублей; 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запчасти для автомобиля – 96 348,00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канцелярские принадлежности – 32 223,00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твердотельный накопитель SSD – 8 199,00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уплата налога на имущество и земельного налога – 3 803,00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уплата транспортного налога – 5 794,00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 штрафы за нарушение законодательства </w:t>
                  </w:r>
                  <w:r>
                    <w:rPr>
                      <w:color w:val="000000"/>
                      <w:sz w:val="28"/>
                      <w:szCs w:val="28"/>
                    </w:rPr>
                    <w:t>о налогах и сборах, законодательства о страховых взносах  – 2 000,00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изменение суммы расходов в прошедшем году в значительной степени повлияло увеличение тарифов и расценок на все виды материалов, работ и услуг.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Другие общегосударственные вопрос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ы составили 178 807,45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сопровождение программного продукта – 49 798,00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расходы на коммунальные услуги (оплата тепловой энергии) – 129 009,45 рублей;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Расходы на национальную оборону составили 136 232,00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расходы на осуществление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первичного воинского учета на территориях, где отсутствуют военные комиссариаты, включают в себя: заработную плату –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104833,58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начисления на выплаты по оплате труда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31398,42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Национальная безопасность и правоохранительная деятельность составили 62294,00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ГСМ – 26 474,63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Расходы по оплате договоров гражданско-правового характера на выполнение прочих работ, услуг, заключенных с физическими лицами на сумму 14 82</w:t>
                  </w:r>
                  <w:r>
                    <w:rPr>
                      <w:color w:val="000000"/>
                      <w:sz w:val="28"/>
                      <w:szCs w:val="28"/>
                    </w:rPr>
                    <w:t>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– Создание минерализованных противопожарных полос – 21 000,00 рублей.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Расходы на национальную экономику составили 1 663 724,59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 Предоставление иных межбюджетных трансфертов муниципальным образованиям Омской области на участие в органи</w:t>
                  </w:r>
                  <w:r>
                    <w:rPr>
                      <w:color w:val="000000"/>
                      <w:sz w:val="28"/>
                      <w:szCs w:val="28"/>
                    </w:rPr>
                    <w:t>зации и финансировании проведения общественных работ – 8 802,76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Дорожное хозяйство (дорожные фонды) – 415 863,59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Расходы по оплате договоров гражданско-правового характера на выполнение прочих работ, услуг, заключенных с физическими лиц</w:t>
                  </w:r>
                  <w:r>
                    <w:rPr>
                      <w:color w:val="000000"/>
                      <w:sz w:val="28"/>
                      <w:szCs w:val="28"/>
                    </w:rPr>
                    <w:t>ами на сумму 1 077 765,00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паспортизации автомобильных дорог – 84 840,00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краска для дорожной разметки – 8 460,00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ГСМ – 76 796 рублей.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Расходы на жилищно-коммунальное хозяйство составило 761 447,15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Транспортные услуги на сумму – 6 000,00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Расходы по оплате договоров гражданско-правового характера на выполнение прочих работ, услуг, заключенных с физическими лицами составляют в сумме – 123 249,94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проведены дезинфекционные мероприят</w:t>
                  </w:r>
                  <w:r>
                    <w:rPr>
                      <w:color w:val="000000"/>
                      <w:sz w:val="28"/>
                      <w:szCs w:val="28"/>
                    </w:rPr>
                    <w:t>ия и акарицидная обработка территории на сумму – 15 300,00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организация и содержание мест захоронения на сумму – 9 000,00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диз. топливо для ДТ-75 на сумму – 114 384,10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на 245 591,00 рублей приобретены строительные и пиломатериал</w:t>
                  </w:r>
                  <w:r>
                    <w:rPr>
                      <w:color w:val="000000"/>
                      <w:sz w:val="28"/>
                      <w:szCs w:val="28"/>
                    </w:rPr>
                    <w:t>ы;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приобретены запчасти и, электроматериалы для замены и дальнейшего обеспечения работоспособности уличного освещения на сумму 74 233,00 рублей;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расходы на коммунальные услуги (оплата электрической энергии) – 147 259,11 рублей.</w:t>
                  </w:r>
                </w:p>
                <w:p w:rsidR="007D71D2" w:rsidRDefault="003518A1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Расходы на физическую ку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льтуру и спорт 6 870,00 рублей.</w:t>
                  </w:r>
                </w:p>
                <w:p w:rsidR="007D71D2" w:rsidRDefault="003518A1">
                  <w:pPr>
                    <w:spacing w:before="190" w:after="190"/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приобретён спорт инвентарь на сумму –6 870,00 рублей.</w:t>
                  </w:r>
                </w:p>
              </w:tc>
            </w:tr>
          </w:tbl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D71D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Раздел 4 "Анализ показателей бухгалтерской отчетности субъекта бюджетной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отчетности"</w:t>
            </w:r>
          </w:p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D71D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течение 2025 года проводилась работа по оптимизации налоговой политики, сокращению дебиторской и кредиторской задолженности.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состоянию на 01.01.2026г. дебиторская задолженность отсутствует.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Вопрос о сокращении кредиторской и дебиторской задолженности в Администрации Мысовского СП находится под постоянным контролем. В целях мониторинга дебиторской (кредиторской) задолженности ежеквартально производятся сверки расчетов с контрагентами.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Подробна</w:t>
                  </w:r>
                  <w:r>
                    <w:rPr>
                      <w:color w:val="000000"/>
                      <w:sz w:val="28"/>
                      <w:szCs w:val="28"/>
                    </w:rPr>
                    <w:t>я информация по дебиторской и кредиторской задолженности отражены в форме 0503169 в разрезе счетов на начало и конец отчетного периода.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отчетном периоде в Администрации Мысовского СП были сформированы резервы предстоящих расходов. По состоянию на отчетну</w:t>
                  </w:r>
                  <w:r>
                    <w:rPr>
                      <w:color w:val="000000"/>
                      <w:sz w:val="28"/>
                      <w:szCs w:val="28"/>
                    </w:rPr>
                    <w:t>ю дату остаток на счете 1 401 60 000 "Резервы предстоящих расходов" составил 173 781,44 рублей.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Информация о начисленных резервах отражена в </w:t>
                  </w:r>
                  <w:hyperlink r:id="rId30" w:history="1">
                    <w:r>
                      <w:rPr>
                        <w:rStyle w:val="a3"/>
                        <w:sz w:val="28"/>
                        <w:szCs w:val="28"/>
                      </w:rPr>
                      <w:t>стр. 911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 xml:space="preserve"> Отчета о бюджетных обязательствах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(ф. 0503128).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состоянию на 01.01.2026 год остаток финансовых средств 169 838,24 рублей.</w:t>
                  </w:r>
                </w:p>
              </w:tc>
            </w:tr>
          </w:tbl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D71D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D71D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Бюджетный учет и формирование бюджетной отчетности по исполнению местного бюджета осущест</w:t>
                  </w:r>
                  <w:r>
                    <w:rPr>
                      <w:color w:val="000000"/>
                      <w:sz w:val="28"/>
                      <w:szCs w:val="28"/>
                    </w:rPr>
                    <w:t>вляется с помощью ПК «1-С», а формирование бюджетной отчетности по исполнению консолидированного бюджета осуществляется Комитетом с помощью ПК «WEB- Консолидация».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Автоматизация бюджетного учета основывается на едином технологическом процессе обработки первичных учетных документов и отражения операций по ним в соответствии с Планом счетов бюджетного учета Инструкции № 157н.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своей деятельности Администрация Мысовско</w:t>
                  </w:r>
                  <w:r>
                    <w:rPr>
                      <w:color w:val="000000"/>
                      <w:sz w:val="28"/>
                      <w:szCs w:val="28"/>
                    </w:rPr>
                    <w:t>го сельского поселения использует: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«1С: Предприятие 8» версия 1.0.8;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«СБиС++» – электронный документооборот с налоговыми службами;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«СУФД» – электронный документооборот с федеральным казначейством;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– «Клиент Сбербанк» – электронный документооборот со </w:t>
                  </w:r>
                  <w:r>
                    <w:rPr>
                      <w:color w:val="000000"/>
                      <w:sz w:val="28"/>
                      <w:szCs w:val="28"/>
                    </w:rPr>
                    <w:t>Сбербанком;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«Крипто ПРО CSP» – электронный документооборот с федеральным казначейством;</w:t>
                  </w:r>
                </w:p>
                <w:p w:rsidR="007D71D2" w:rsidRDefault="003518A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 состав годовой отчетности включаются следующие формы: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Баланс главного распорядителя, распорядителя, получателя бюджетных средств, главного администратора, админис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тратора источников финансирования дефицита бюджета, главного администратора,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администратора доходов бюджета (ф. 0503130);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Справка по консолидируемым расчетам (ф. 0503125);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Справка по заключению счетов бюджетного учета отчетного финансового года (ф. 050</w:t>
                  </w:r>
                  <w:r>
                    <w:rPr>
                      <w:color w:val="000000"/>
                      <w:sz w:val="28"/>
                      <w:szCs w:val="28"/>
                    </w:rPr>
                    <w:t>3110);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Отчет об исполнении бюджета (ф.0503117)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администратора доходов бюджета (ф. 0503127;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Дополнительный отчет (ф. 0503127N);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Отчет о бюджетных обязательствах (ф. 0503128);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Дополнительный отчет (ф. 0503128N);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Отчет о финансовых результатах деятельности (ф. 0503121);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Отчет о движении денежны</w:t>
                  </w:r>
                  <w:r>
                    <w:rPr>
                      <w:color w:val="000000"/>
                      <w:sz w:val="28"/>
                      <w:szCs w:val="28"/>
                    </w:rPr>
                    <w:t>х средств (ф. 0503123) (далее – Отчет ф.0503123);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Пояснительная записка (ф. 0503160) составлена в разрезе следующих разделов: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Раздел 1 "Организационная структура субъекта бюджетной отчетности", включающий: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об основных направлениях деятельности </w:t>
                  </w:r>
                  <w:hyperlink r:id="rId31" w:history="1">
                    <w:r>
                      <w:rPr>
                        <w:rStyle w:val="a3"/>
                        <w:sz w:val="28"/>
                        <w:szCs w:val="28"/>
                      </w:rPr>
                      <w:t>(Таблица N 1)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 количестве подведомственных учреждений </w:t>
                  </w:r>
                  <w:hyperlink r:id="rId32" w:history="1">
                    <w:r>
                      <w:rPr>
                        <w:rStyle w:val="a3"/>
                        <w:sz w:val="28"/>
                        <w:szCs w:val="28"/>
                      </w:rPr>
                      <w:t>(ф. 0503161)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Раздел 2 "Результаты деятельности субъекта бюджетной отчетности", включающий: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 мерах по повышению эффективности расходования бюджетных средств </w:t>
                  </w:r>
                  <w:hyperlink r:id="rId33" w:history="1">
                    <w:r>
                      <w:rPr>
                        <w:rStyle w:val="a3"/>
                        <w:sz w:val="28"/>
                        <w:szCs w:val="28"/>
                      </w:rPr>
                      <w:t>(Таблица N 2)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 результатах деятельности </w:t>
                  </w:r>
                  <w:hyperlink r:id="rId34" w:history="1">
                    <w:r>
                      <w:rPr>
                        <w:rStyle w:val="a3"/>
                        <w:sz w:val="28"/>
                        <w:szCs w:val="28"/>
                      </w:rPr>
                      <w:t>(ф. 0503162)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Раздел 3 "Анализ отчета об исполнении бюджета субъектом бюджетной отчетности", включающий: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об исполнении текстовых статей закона (решения) о бюджете </w:t>
                  </w:r>
                  <w:hyperlink r:id="rId35" w:history="1">
                    <w:r>
                      <w:rPr>
                        <w:rStyle w:val="a3"/>
                        <w:sz w:val="28"/>
                        <w:szCs w:val="28"/>
                      </w:rPr>
                      <w:t>(Таблица N 3)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Сведения об изменениях бюджетной росписи главного распорядителя бюджетных средств, главного администратора ист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очников финансирования дефицита бюджета </w:t>
                  </w:r>
                  <w:hyperlink r:id="rId36" w:history="1">
                    <w:r>
                      <w:rPr>
                        <w:rStyle w:val="a3"/>
                        <w:sz w:val="28"/>
                        <w:szCs w:val="28"/>
                      </w:rPr>
                      <w:t>(ф. 0503163)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об исполнении бюджета </w:t>
                  </w:r>
                  <w:hyperlink r:id="rId37" w:history="1">
                    <w:r>
                      <w:rPr>
                        <w:rStyle w:val="a3"/>
                        <w:sz w:val="28"/>
                        <w:szCs w:val="28"/>
                      </w:rPr>
                      <w:t>(ф. 0503164)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об исполнении мероприятий в рамках целевых программ </w:t>
                  </w:r>
                  <w:hyperlink r:id="rId38" w:history="1">
                    <w:r>
                      <w:rPr>
                        <w:rStyle w:val="a3"/>
                        <w:sz w:val="28"/>
                        <w:szCs w:val="28"/>
                      </w:rPr>
                      <w:t>(ф. 0503166)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Дополнительная форма</w:t>
                  </w:r>
                  <w:r>
                    <w:rPr>
                      <w:color w:val="000000"/>
                      <w:sz w:val="28"/>
                      <w:szCs w:val="28"/>
                    </w:rPr>
                    <w:t>: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</w:t>
                  </w:r>
                  <w:r>
                    <w:rPr>
                      <w:color w:val="000000"/>
                      <w:sz w:val="28"/>
                      <w:szCs w:val="28"/>
                    </w:rPr>
                    <w:t>джетным фондом (ф. 0503324) (далее – Отчет ф. 0503324).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Отчет ф. 0503324 представляет главный администратор доходов областного бюджета. 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о движении нефинансовых активов </w:t>
                  </w:r>
                  <w:hyperlink r:id="rId39" w:history="1">
                    <w:r>
                      <w:rPr>
                        <w:rStyle w:val="a3"/>
                        <w:sz w:val="28"/>
                        <w:szCs w:val="28"/>
                      </w:rPr>
                      <w:t>(ф. 0503168)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7D71D2" w:rsidRDefault="003518A1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Сведения по дебиторской и кредиторской задолженности </w:t>
                  </w:r>
                  <w:hyperlink r:id="rId40" w:history="1">
                    <w:r>
                      <w:rPr>
                        <w:rStyle w:val="a3"/>
                        <w:sz w:val="28"/>
                        <w:szCs w:val="28"/>
                      </w:rPr>
                      <w:t>(ф. 0503169)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7D71D2" w:rsidRDefault="003518A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D71D2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7D71D2" w:rsidRDefault="007D71D2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7D71D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D71D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ИСПОЛНЯЮЩИЙ ОБЯЗАННОСТИ ГЛАВЫ АДМИНИСТРАЦИИ МЫСОВСКОГО СЕЛЬСКОГО ПОСЕЛЕНИЯ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D71D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Клокова Виктория Михайловна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3518A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D71D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D71D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r>
                          <w:rPr>
                            <w:color w:val="000000"/>
                          </w:rPr>
                          <w:t>Сертификат: 5CDBFE50CB5154B864338687A4F642D0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Владелец: Клокова Виктория Михайловна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Действителен с 25.02.2026 по 21.05.2027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Дата подписания: 27.02.2026</w:t>
                        </w:r>
                      </w:p>
                    </w:tc>
                  </w:tr>
                </w:tbl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D71D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специалист 1 категории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D71D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Захаров Василий Иванович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3518A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D71D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D71D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r>
                          <w:rPr>
                            <w:color w:val="000000"/>
                          </w:rPr>
                          <w:t>Сертификат: 00842974AB4EE7CDDC06F14D7A20087489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Владелец: Захаров Василий Иванович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Действителен с 26.05.2025 по 19.08.2026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Дата подписания: 27.02.2026</w:t>
                        </w:r>
                      </w:p>
                    </w:tc>
                  </w:tr>
                </w:tbl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D71D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специалист 1 категории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D71D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Захаров Василий Иванович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3518A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D71D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D71D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r>
                          <w:rPr>
                            <w:color w:val="000000"/>
                          </w:rPr>
                          <w:t>Сертификат: 00842974AB4EE7CDDC06F14D7A20087489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Владелец: Захаров Василий Иванович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Действителен с 26.05.2025 по 19.08.2026</w:t>
                        </w:r>
                      </w:p>
                      <w:p w:rsidR="007D71D2" w:rsidRDefault="003518A1">
                        <w:r>
                          <w:rPr>
                            <w:color w:val="000000"/>
                          </w:rPr>
                          <w:t>Дата подписания: 27.02.2026</w:t>
                        </w:r>
                      </w:p>
                    </w:tc>
                  </w:tr>
                </w:tbl>
                <w:p w:rsidR="007D71D2" w:rsidRDefault="007D71D2">
                  <w:pPr>
                    <w:spacing w:line="1" w:lineRule="auto"/>
                  </w:pPr>
                </w:p>
              </w:tc>
            </w:tr>
            <w:tr w:rsidR="007D71D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7D71D2">
                  <w:pPr>
                    <w:spacing w:line="1" w:lineRule="auto"/>
                  </w:pP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7D71D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r>
                    <w:rPr>
                      <w:color w:val="000000"/>
                      <w:sz w:val="28"/>
                      <w:szCs w:val="28"/>
                    </w:rPr>
                    <w:t>10 марта 2026 г.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7D71D2" w:rsidRDefault="007D71D2">
      <w:pPr>
        <w:sectPr w:rsidR="007D71D2">
          <w:headerReference w:type="default" r:id="rId41"/>
          <w:footerReference w:type="default" r:id="rId42"/>
          <w:pgSz w:w="11905" w:h="16837"/>
          <w:pgMar w:top="1133" w:right="566" w:bottom="1133" w:left="1133" w:header="1133" w:footer="1133" w:gutter="0"/>
          <w:cols w:space="720"/>
        </w:sectPr>
      </w:pPr>
    </w:p>
    <w:p w:rsidR="007D71D2" w:rsidRDefault="007D71D2">
      <w:pPr>
        <w:rPr>
          <w:vanish/>
        </w:rPr>
      </w:pPr>
      <w:bookmarkStart w:id="4" w:name="__bookmark_5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7D71D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1 статьи 6 "Установить верхний предел муниципального долга сельского поселения в течение 2025 года в сумме 1 411,6 тысяч рублей."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долг сельского поселения в течение 2025 года составил 0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Пункт 1 статьи1 "Утвердить основные характеристики бюджета Мысовского сельского поселения на 2025 год: прогнозируемый общий объем доходов бюджета поселения  в сумме 5 858,8 тысяч рублей; общий объем расходов местного бюджета в сумме  5 975,1 тысяч рублей; </w:t>
            </w:r>
            <w:r>
              <w:rPr>
                <w:color w:val="000000"/>
                <w:sz w:val="28"/>
                <w:szCs w:val="28"/>
              </w:rPr>
              <w:t>прогнозируемый дефицит бюджета  равным нулю."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доходов бюджета сельского поселения  составил 5 858,8 тысяч рублей; общий объем расходов бюджета сельского поселения составил 5 975,1 тысяч рублей; прогнозируемый дефицит бюджета  составил 0,0 тыс</w:t>
            </w:r>
            <w:r>
              <w:rPr>
                <w:color w:val="000000"/>
                <w:sz w:val="28"/>
                <w:szCs w:val="28"/>
              </w:rPr>
              <w:t>яч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доходам: С переоценкой кадастровой стоимости земель сельскохозяйственного назначения поступление доходов по земельному налогу уменьшилось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2 статьи6 "Установить верхний предел муниципального долга сельского поселения на 1 января 2025 года в сумме  0 тысяч рублей"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Верхний предел муниципального долга сельского поселения на 1 января 2026 года составил 0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3 Статья 6 "Предоставление муниципальных гарантий"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Муниципальные гарантии в 2025 году не предоставлялись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3 статьи 3 "Утвердить резервный фонд администрации Мысовского сельского поселения на 2025 год в сумме 0,0 тыс. рублей."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сельского поселения на 2025 год составил 0,0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Отсутствие потребности выделения средств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5 "Утвердить  </w:t>
            </w:r>
            <w:r>
              <w:rPr>
                <w:color w:val="000000"/>
                <w:sz w:val="28"/>
                <w:szCs w:val="28"/>
              </w:rPr>
              <w:lastRenderedPageBreak/>
              <w:t>объем межбюджетных трансфертов из других бюджетов бюджетной системы Российской Федерации в 2025 году в сумме 3 036,2 тыс.рублей, в том числе из районного бюджета в сумме 2 686,8 тыс.рублей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Безвозмездные </w:t>
            </w:r>
            <w:r>
              <w:rPr>
                <w:color w:val="000000"/>
                <w:sz w:val="28"/>
                <w:szCs w:val="28"/>
              </w:rPr>
              <w:lastRenderedPageBreak/>
              <w:t>поступления на 2025 год состав</w:t>
            </w:r>
            <w:r>
              <w:rPr>
                <w:color w:val="000000"/>
                <w:sz w:val="28"/>
                <w:szCs w:val="28"/>
              </w:rPr>
              <w:t>или  3 036,2 тысяч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Безвозмездные </w:t>
            </w:r>
            <w:r>
              <w:rPr>
                <w:color w:val="000000"/>
                <w:sz w:val="28"/>
                <w:szCs w:val="28"/>
              </w:rPr>
              <w:lastRenderedPageBreak/>
              <w:t>поступления из бюджетов других уровней бюджету поселения поступили в конце 2025 года на 3 036,2 тыс.руб. меньше чем было предусмотрено решением о бюджете. Дотации бюджетам сельских поселений на выравнивание бюджетной обеспеченности из бюджета</w:t>
            </w:r>
            <w:r>
              <w:rPr>
                <w:color w:val="000000"/>
                <w:sz w:val="28"/>
                <w:szCs w:val="28"/>
              </w:rPr>
              <w:t xml:space="preserve"> субъекта Российской Федерации в размере 2 823,1 тыс. руб. Были выделены средсва на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</w:t>
            </w:r>
            <w:r>
              <w:rPr>
                <w:color w:val="000000"/>
                <w:sz w:val="28"/>
                <w:szCs w:val="28"/>
              </w:rPr>
              <w:t>в соответствии с заключенными соглашениями в размере 44,0 тыс. руб. а также на прочие межбюджетные трансферты, передаваемые бюджетам сельских поселений в размере 32,9 тыс. руб., на организацию общественных работ. Субвенции бюджетам сельских поселений на ос</w:t>
            </w:r>
            <w:r>
              <w:rPr>
                <w:color w:val="000000"/>
                <w:sz w:val="28"/>
                <w:szCs w:val="28"/>
              </w:rPr>
              <w:t>уществление первичного воинского учета на территориях, где отсутствуют военные комиссариаты  составили 136,2 тыс. руб.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7D71D2" w:rsidRDefault="007D71D2">
      <w:pPr>
        <w:sectPr w:rsidR="007D71D2">
          <w:headerReference w:type="default" r:id="rId43"/>
          <w:footerReference w:type="default" r:id="rId44"/>
          <w:pgSz w:w="11905" w:h="16837"/>
          <w:pgMar w:top="1133" w:right="566" w:bottom="1133" w:left="1133" w:header="1133" w:footer="1133" w:gutter="0"/>
          <w:cols w:space="720"/>
        </w:sectPr>
      </w:pPr>
    </w:p>
    <w:p w:rsidR="007D71D2" w:rsidRDefault="007D71D2">
      <w:pPr>
        <w:rPr>
          <w:vanish/>
        </w:rPr>
      </w:pPr>
      <w:bookmarkStart w:id="5" w:name="__bookmark_6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7D71D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 Минфина РФ от 01.12.2010 № 157н "Об утверждении Инструкции по бюджетному учету"       ( с изменениями и дополнениями), приказ Минфина РФ от 06.12.2010 №162н "Об утверждении Плана счетов бюджетного учета и Инструкции по его применению", Положение об </w:t>
            </w:r>
            <w:r>
              <w:rPr>
                <w:color w:val="000000"/>
                <w:sz w:val="28"/>
                <w:szCs w:val="28"/>
              </w:rPr>
              <w:t>учетной политике Администрации Мысовского сельского поселения на очередной финансовый год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Принимаются к учету по превоначальной стоимости. Изменения первоначальной стоимости производится лишь в случаях перероценки, достройки. Единицей учета является инве</w:t>
            </w:r>
            <w:r>
              <w:rPr>
                <w:color w:val="000000"/>
                <w:sz w:val="28"/>
                <w:szCs w:val="28"/>
              </w:rPr>
              <w:t>нтарный объект.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течении года на основные средства начисляется ежемясячно амортизация в размере 1/12 суммы. Срок полезного использования определяется в соответствии с классификацией основных средств, утвержденной постановлением </w:t>
            </w:r>
            <w:r>
              <w:rPr>
                <w:color w:val="000000"/>
                <w:sz w:val="28"/>
                <w:szCs w:val="28"/>
              </w:rPr>
              <w:lastRenderedPageBreak/>
              <w:t>Правительства РФ от 01.01.2002г №1. Моменто</w:t>
            </w:r>
            <w:r>
              <w:rPr>
                <w:color w:val="000000"/>
                <w:sz w:val="28"/>
                <w:szCs w:val="28"/>
              </w:rPr>
              <w:t>м отражения операций в учете является день подписания акта приема-передачи.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 (ГСМ, строительные материалы, прочие), готовая продукция, полученная в рамках производственной деятельности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1 10600000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затраты, которые формируют первоначальную стоимсоть основных, нематериальных и непроизводственных активов.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1 20100000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на лицевых счетах в органе казначейства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доходам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1 20500000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Эти счета используются для отражения доходов и поступлений от предпринимательской деятельности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авансам выданным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1 20600000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Здесь отражают суммы выданных авансов. По окончании ресчетов авансы списываются на счета расчетов с поставщиками и подрядчиками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Расчеты с </w:t>
            </w:r>
            <w:r>
              <w:rPr>
                <w:color w:val="000000"/>
                <w:sz w:val="28"/>
                <w:szCs w:val="28"/>
              </w:rPr>
              <w:lastRenderedPageBreak/>
              <w:t>подотчетными лицами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1 20800000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этих счетах </w:t>
            </w:r>
            <w:r>
              <w:rPr>
                <w:color w:val="000000"/>
                <w:sz w:val="28"/>
                <w:szCs w:val="28"/>
              </w:rPr>
              <w:lastRenderedPageBreak/>
              <w:t>учитываются денежные средства выданные в подотчет на определенные цели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Расчеты с поставщиками и подрядчиками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1 30200000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этих счетах администрация отражает увеличение и уменьшение задолженности перед поставщиками. Кроме того, здесь учитывают и расчеты с персоналом по оплате труда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1 30300000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Здесь отражают расчеты с бюджетом по налогам и взносам. А именно: налогу на доходы физических лиц, налогу на прибыль, страховых взносов на обязательное социальное страхование, пенсионное страхование и прочее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1 30400000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этих счетах учитывают: -средства, которые получены во временное распоряжение; удержания из заработной платы; расчеты с депонентами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Финансовый результат </w:t>
            </w:r>
            <w:r>
              <w:rPr>
                <w:color w:val="000000"/>
                <w:sz w:val="28"/>
                <w:szCs w:val="28"/>
              </w:rPr>
              <w:lastRenderedPageBreak/>
              <w:t>хозяйствующего субъекта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D71D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1D2" w:rsidRDefault="003518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1 40100000</w:t>
                  </w: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аналогично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этих счетах учитывают: доходы </w:t>
            </w:r>
            <w:r>
              <w:rPr>
                <w:color w:val="000000"/>
                <w:sz w:val="28"/>
                <w:szCs w:val="28"/>
              </w:rPr>
              <w:lastRenderedPageBreak/>
              <w:t>и расходы администрации в разрезе операций. Причем как по бюджетной, так и по внебюджетной деятельности На счете 040130000 "Финансовый результат прошлых отчетных периодов" списывают остатки по счетам доходов и расходов. Сде</w:t>
            </w:r>
            <w:r>
              <w:rPr>
                <w:color w:val="000000"/>
                <w:sz w:val="28"/>
                <w:szCs w:val="28"/>
              </w:rPr>
              <w:t>лать это нужно заключительными записями декабря.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7D71D2" w:rsidRDefault="007D71D2">
      <w:pPr>
        <w:sectPr w:rsidR="007D71D2">
          <w:headerReference w:type="default" r:id="rId45"/>
          <w:footerReference w:type="default" r:id="rId46"/>
          <w:pgSz w:w="11905" w:h="16837"/>
          <w:pgMar w:top="1133" w:right="566" w:bottom="1133" w:left="1133" w:header="1133" w:footer="1133" w:gutter="0"/>
          <w:cols w:space="720"/>
        </w:sectPr>
      </w:pPr>
    </w:p>
    <w:p w:rsidR="007D71D2" w:rsidRDefault="007D71D2">
      <w:pPr>
        <w:rPr>
          <w:vanish/>
        </w:rPr>
      </w:pPr>
      <w:bookmarkStart w:id="6" w:name="__bookmark_10"/>
      <w:bookmarkEnd w:id="6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7D71D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7D71D2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7D71D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D71D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7" w:name="_Toc0503169"/>
      <w:bookmarkEnd w:id="7"/>
      <w:tr w:rsidR="007D71D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7D71D2">
            <w:pPr>
              <w:rPr>
                <w:vanish/>
              </w:rPr>
            </w:pPr>
            <w:r>
              <w:fldChar w:fldCharType="begin"/>
            </w:r>
            <w:r w:rsidR="003518A1">
              <w:instrText xml:space="preserve"> TC "0503169" \f C \l "1"</w:instrText>
            </w:r>
            <w:r>
              <w:fldChar w:fldCharType="end"/>
            </w:r>
          </w:p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7D71D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8" w:name="__bookmark_11"/>
                <w:bookmarkStart w:id="9" w:name="_TocПричины_увеличения_просроченной_деби"/>
                <w:bookmarkEnd w:id="8"/>
                <w:bookmarkEnd w:id="9"/>
                <w:p w:rsidR="007D71D2" w:rsidRDefault="007D71D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3518A1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7D71D2" w:rsidRDefault="003518A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7D71D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D71D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D71D2" w:rsidRDefault="003518A1">
                              <w:pPr>
                                <w:jc w:val="center"/>
                              </w:pPr>
                              <w:bookmarkStart w:id="10" w:name="__bookmark_12"/>
                              <w:bookmarkEnd w:id="10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7D71D2" w:rsidRDefault="007D71D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10601030101000110 1 20511000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32 932,05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сумма: 4041.43; пояснение:</w:t>
                        </w:r>
                      </w:p>
                    </w:tc>
                  </w:tr>
                  <w:tr w:rsidR="007D71D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D71D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D71D2" w:rsidRDefault="003518A1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101</w:t>
                              </w:r>
                            </w:p>
                          </w:tc>
                        </w:tr>
                      </w:tbl>
                      <w:p w:rsidR="007D71D2" w:rsidRDefault="007D71D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236 833,62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7D71D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D71D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D71D2" w:rsidRDefault="003518A1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102</w:t>
                              </w:r>
                            </w:p>
                          </w:tc>
                        </w:tr>
                      </w:tbl>
                      <w:p w:rsidR="007D71D2" w:rsidRDefault="007D71D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10606043103000110 1 20511000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386,25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7D71D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270 151,92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7D71D2" w:rsidRDefault="007D71D2">
                  <w:pPr>
                    <w:spacing w:line="1" w:lineRule="auto"/>
                  </w:pPr>
                </w:p>
              </w:tc>
            </w:tr>
            <w:bookmarkStart w:id="11" w:name="_TocПричины_увеличения_просроченной_кред"/>
            <w:bookmarkEnd w:id="11"/>
            <w:tr w:rsidR="007D71D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D71D2" w:rsidRDefault="007D71D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3518A1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7D71D2" w:rsidRDefault="003518A1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7D71D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D71D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D71D2" w:rsidRDefault="003518A1">
                              <w:pPr>
                                <w:jc w:val="center"/>
                              </w:pPr>
                              <w:bookmarkStart w:id="12" w:name="__bookmark_13"/>
                              <w:bookmarkEnd w:id="12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7D71D2" w:rsidRDefault="007D71D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7D71D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D71D2" w:rsidRDefault="003518A1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7D71D2" w:rsidRDefault="007D71D2">
                  <w:pPr>
                    <w:spacing w:line="1" w:lineRule="auto"/>
                  </w:pPr>
                </w:p>
              </w:tc>
            </w:tr>
          </w:tbl>
          <w:p w:rsidR="007D71D2" w:rsidRDefault="007D71D2">
            <w:pPr>
              <w:spacing w:line="1" w:lineRule="auto"/>
            </w:pPr>
          </w:p>
        </w:tc>
      </w:tr>
      <w:tr w:rsidR="007D71D2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7D71D2" w:rsidRDefault="007D71D2">
      <w:pPr>
        <w:sectPr w:rsidR="007D71D2">
          <w:headerReference w:type="default" r:id="rId47"/>
          <w:footerReference w:type="default" r:id="rId48"/>
          <w:pgSz w:w="11905" w:h="16837"/>
          <w:pgMar w:top="1133" w:right="566" w:bottom="1133" w:left="1133" w:header="1133" w:footer="1133" w:gutter="0"/>
          <w:cols w:space="720"/>
        </w:sectPr>
      </w:pPr>
    </w:p>
    <w:p w:rsidR="007D71D2" w:rsidRDefault="007D71D2">
      <w:pPr>
        <w:rPr>
          <w:vanish/>
        </w:rPr>
      </w:pPr>
      <w:bookmarkStart w:id="13" w:name="__bookmark_14"/>
      <w:bookmarkEnd w:id="13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7D71D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7D71D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7D71D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0503296; 0503190; 0503184; 0503178_3; 0503178_1; 0503175; 0503174; 0503173_3; 0503173_1; 0503172; 0503171; 0503127S; 050</w:t>
            </w:r>
            <w:r>
              <w:rPr>
                <w:i/>
                <w:iCs/>
                <w:color w:val="000000"/>
                <w:sz w:val="28"/>
                <w:szCs w:val="28"/>
              </w:rPr>
              <w:t>3128-НП; 0503167</w:t>
            </w: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7D71D2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  <w:jc w:val="center"/>
            </w:pPr>
          </w:p>
        </w:tc>
      </w:tr>
      <w:tr w:rsidR="007D71D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3518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D71D2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1D2" w:rsidRDefault="007D71D2">
            <w:pPr>
              <w:spacing w:line="1" w:lineRule="auto"/>
            </w:pPr>
          </w:p>
        </w:tc>
      </w:tr>
    </w:tbl>
    <w:p w:rsidR="003518A1" w:rsidRDefault="003518A1"/>
    <w:sectPr w:rsidR="003518A1" w:rsidSect="007D71D2">
      <w:headerReference w:type="default" r:id="rId49"/>
      <w:footerReference w:type="default" r:id="rId50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A1" w:rsidRDefault="003518A1" w:rsidP="007D71D2">
      <w:r>
        <w:separator/>
      </w:r>
    </w:p>
  </w:endnote>
  <w:endnote w:type="continuationSeparator" w:id="0">
    <w:p w:rsidR="003518A1" w:rsidRDefault="003518A1" w:rsidP="007D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A1" w:rsidRDefault="003518A1" w:rsidP="007D71D2">
      <w:r>
        <w:separator/>
      </w:r>
    </w:p>
  </w:footnote>
  <w:footnote w:type="continuationSeparator" w:id="0">
    <w:p w:rsidR="003518A1" w:rsidRDefault="003518A1" w:rsidP="007D7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D71D2">
      <w:trPr>
        <w:trHeight w:val="56"/>
      </w:trPr>
      <w:tc>
        <w:tcPr>
          <w:tcW w:w="10421" w:type="dxa"/>
        </w:tcPr>
        <w:p w:rsidR="007D71D2" w:rsidRDefault="007D71D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D2"/>
    <w:rsid w:val="00184BBF"/>
    <w:rsid w:val="003518A1"/>
    <w:rsid w:val="007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D71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D7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emo.garant.ru/document?id=71486636&amp;sub=1000" TargetMode="External"/><Relationship Id="rId18" Type="http://schemas.openxmlformats.org/officeDocument/2006/relationships/hyperlink" Target="http://demo.garant.ru/document?id=71488992&amp;sub=0" TargetMode="External"/><Relationship Id="rId26" Type="http://schemas.openxmlformats.org/officeDocument/2006/relationships/hyperlink" Target="file:///C:\Users\&#1040;&#1076;&#1084;&#1080;&#1085;&#1080;&#1089;&#1090;&#1088;&#1072;&#1090;&#1086;&#1088;\Downloads\consultantplus:\offline\main%3fbase=LAW;n=108357;fld=134;dst=100001" TargetMode="External"/><Relationship Id="rId39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DsBd2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emo.garant.ru/document?id=70931648&amp;sub=3000" TargetMode="External"/><Relationship Id="rId34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EsBd0F" TargetMode="External"/><Relationship Id="rId42" Type="http://schemas.openxmlformats.org/officeDocument/2006/relationships/footer" Target="footer1.xml"/><Relationship Id="rId47" Type="http://schemas.openxmlformats.org/officeDocument/2006/relationships/header" Target="header4.xml"/><Relationship Id="rId50" Type="http://schemas.openxmlformats.org/officeDocument/2006/relationships/footer" Target="footer5.xml"/><Relationship Id="rId7" Type="http://schemas.openxmlformats.org/officeDocument/2006/relationships/hyperlink" Target="http://demo.garant.ru/document?id=12080849&amp;sub=2000" TargetMode="External"/><Relationship Id="rId12" Type="http://schemas.openxmlformats.org/officeDocument/2006/relationships/hyperlink" Target="http://demo.garant.ru/document?id=12081732&amp;sub=0" TargetMode="External"/><Relationship Id="rId17" Type="http://schemas.openxmlformats.org/officeDocument/2006/relationships/hyperlink" Target="http://demo.garant.ru/document?id=71488992&amp;sub=1000" TargetMode="External"/><Relationship Id="rId25" Type="http://schemas.openxmlformats.org/officeDocument/2006/relationships/hyperlink" Target="file:///C:\Users\&#1040;&#1076;&#1084;&#1080;&#1085;&#1080;&#1089;&#1090;&#1088;&#1072;&#1090;&#1086;&#1088;\Downloads\consultantplus:\offline\main%3fbase=LAW;n=107678;fld=134;dst=100001" TargetMode="External"/><Relationship Id="rId33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BsBd0F" TargetMode="External"/><Relationship Id="rId38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CsBd7F" TargetMode="External"/><Relationship Id="rId46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yperlink" Target="http://demo.garant.ru/document?id=71489050&amp;sub=0" TargetMode="External"/><Relationship Id="rId20" Type="http://schemas.openxmlformats.org/officeDocument/2006/relationships/hyperlink" Target="http://demo.garant.ru/document?id=71488960&amp;sub=0" TargetMode="External"/><Relationship Id="rId29" Type="http://schemas.openxmlformats.org/officeDocument/2006/relationships/hyperlink" Target="http://demo.garant.ru/document?id=12081732&amp;sub=503127" TargetMode="Externa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emo.garant.ru/document?id=12081732&amp;sub=1000" TargetMode="External"/><Relationship Id="rId24" Type="http://schemas.openxmlformats.org/officeDocument/2006/relationships/hyperlink" Target="file:///C:\Users\&#1040;&#1076;&#1084;&#1080;&#1085;&#1080;&#1089;&#1090;&#1088;&#1072;&#1090;&#1086;&#1088;\Downloads\consultantplus:\offline\main%3fbase=LAW;n=107750;fld=134;dst=100001" TargetMode="External"/><Relationship Id="rId32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9sBd7F" TargetMode="External"/><Relationship Id="rId37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FsBd0F" TargetMode="External"/><Relationship Id="rId40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939sBd5F" TargetMode="External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demo.garant.ru/document?id=71489050&amp;sub=1000" TargetMode="External"/><Relationship Id="rId23" Type="http://schemas.openxmlformats.org/officeDocument/2006/relationships/hyperlink" Target="http://demo.garant.ru/document?id=12012604&amp;sub=0" TargetMode="External"/><Relationship Id="rId28" Type="http://schemas.openxmlformats.org/officeDocument/2006/relationships/hyperlink" Target="http://demo.garant.ru/document?id=12081732&amp;sub=503164" TargetMode="External"/><Relationship Id="rId36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EsBd7F" TargetMode="External"/><Relationship Id="rId49" Type="http://schemas.openxmlformats.org/officeDocument/2006/relationships/header" Target="header5.xml"/><Relationship Id="rId10" Type="http://schemas.openxmlformats.org/officeDocument/2006/relationships/hyperlink" Target="http://demo.garant.ru/document?id=12080897&amp;sub=0" TargetMode="External"/><Relationship Id="rId19" Type="http://schemas.openxmlformats.org/officeDocument/2006/relationships/hyperlink" Target="http://demo.garant.ru/document?id=71488960&amp;sub=1000" TargetMode="External"/><Relationship Id="rId31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AsBd6F" TargetMode="External"/><Relationship Id="rId44" Type="http://schemas.openxmlformats.org/officeDocument/2006/relationships/footer" Target="footer2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emo.garant.ru/document?id=12080897&amp;sub=2000" TargetMode="External"/><Relationship Id="rId14" Type="http://schemas.openxmlformats.org/officeDocument/2006/relationships/hyperlink" Target="http://demo.garant.ru/document?id=71486636&amp;sub=0" TargetMode="External"/><Relationship Id="rId22" Type="http://schemas.openxmlformats.org/officeDocument/2006/relationships/hyperlink" Target="http://demo.garant.ru/document?id=10003000&amp;sub=0" TargetMode="External"/><Relationship Id="rId27" Type="http://schemas.openxmlformats.org/officeDocument/2006/relationships/hyperlink" Target="file:///C:\Users\&#1040;&#1076;&#1084;&#1080;&#1085;&#1080;&#1089;&#1090;&#1088;&#1072;&#1090;&#1086;&#1088;\Downloads\consultantplus:\offline\main%3fbase=LAW;n=108797;fld=134;dst=100001" TargetMode="External"/><Relationship Id="rId30" Type="http://schemas.openxmlformats.org/officeDocument/2006/relationships/hyperlink" Target="http://demo.garant.ru/document?id=12081732&amp;sub=503128911" TargetMode="External"/><Relationship Id="rId35" Type="http://schemas.openxmlformats.org/officeDocument/2006/relationships/hyperlink" Target="file:///C:\Users\&#1040;&#1076;&#1084;&#1080;&#1085;&#1080;&#1089;&#1090;&#1088;&#1072;&#1090;&#1086;&#1088;\Downloads\consultantplus:\offline\ref=33D35F8FDAE3C64F3420A0193C76247B4B7C4361250D02F7930E18FFE1BC2691EBC2986296EF483BsBd4F" TargetMode="External"/><Relationship Id="rId43" Type="http://schemas.openxmlformats.org/officeDocument/2006/relationships/header" Target="header2.xml"/><Relationship Id="rId48" Type="http://schemas.openxmlformats.org/officeDocument/2006/relationships/footer" Target="footer4.xml"/><Relationship Id="rId8" Type="http://schemas.openxmlformats.org/officeDocument/2006/relationships/hyperlink" Target="http://demo.garant.ru/document?id=12080849&amp;sub=0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4568</Words>
  <Characters>26043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2026-03-10T08:17:00Z</dcterms:created>
  <dcterms:modified xsi:type="dcterms:W3CDTF">2026-03-10T08:17:00Z</dcterms:modified>
</cp:coreProperties>
</file>