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A873A0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A873A0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873A0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A873A0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A873A0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A873A0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A873A0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A873A0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  <w:jc w:val="center"/>
                  </w:pP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</w:tr>
      <w:tr w:rsidR="00A873A0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Костинского сельского поселения Муромцевского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A873A0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52634417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A873A0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A873A0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A873A0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A873A0" w:rsidRDefault="00A873A0">
      <w:pPr>
        <w:rPr>
          <w:vanish/>
        </w:rPr>
      </w:pPr>
      <w:bookmarkStart w:id="2" w:name="__bookmark_3"/>
      <w:bookmarkEnd w:id="2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A873A0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A873A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A873A0" w:rsidRDefault="00E02298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Администрация  Костинского сельского поселения Муромцевского муниципального района Омской области(далее – Администрация) является исполнительно-распорядительным органом муниципального образования, уполномоченным на решение вопросов местного значения и осущ</w:t>
                  </w:r>
                  <w:r>
                    <w:rPr>
                      <w:color w:val="000000"/>
                      <w:sz w:val="28"/>
                      <w:szCs w:val="28"/>
                    </w:rPr>
                    <w:t>ествление отдельных государственных полномочий, переданных органам местного самоуправления федеральными законами и законами Омской области. Администрация  образована в 2005 году. Сокращенное наименование согласно Уставу –Администрация Костинского СП. Юриди</w:t>
                  </w:r>
                  <w:r>
                    <w:rPr>
                      <w:color w:val="000000"/>
                      <w:sz w:val="28"/>
                      <w:szCs w:val="28"/>
                    </w:rPr>
                    <w:t>ческий (почтовый) адрес:646442, Омская область, Муромцевский  район, с. Костино, ул. 40 лет Победы,15.</w:t>
                  </w:r>
                </w:p>
                <w:p w:rsidR="00A873A0" w:rsidRDefault="00E02298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Администрация осуществляет свою деятельность в соответствии с Конституцией Российской Федерации, федеральными законами и законами Омской области, Уста</w:t>
                  </w:r>
                  <w:r>
                    <w:rPr>
                      <w:color w:val="000000"/>
                      <w:sz w:val="28"/>
                      <w:szCs w:val="28"/>
                    </w:rPr>
                    <w:t>вом муниципального образования, иными муниципальными правовыми актами.</w:t>
                  </w:r>
                </w:p>
                <w:p w:rsidR="00A873A0" w:rsidRDefault="00E02298">
                  <w:pPr>
                    <w:spacing w:before="190" w:after="190"/>
                    <w:ind w:left="1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Администрация входит в систему органов местного самоуправления.</w:t>
                  </w:r>
                </w:p>
                <w:p w:rsidR="00A873A0" w:rsidRDefault="00E02298">
                  <w:pPr>
                    <w:spacing w:before="190" w:after="190"/>
                    <w:ind w:left="1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Финансовое обеспечение деятельности Администрации осуществляется за счет средств местного бюджета. Администрация явля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ется главным распорядителем бюджетных средств.В соответствии с Уставом деятельность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Администрации нацелена на исполнение полномочий в соответствии с Федеральным законом от 06.10.2003г №131 ФЗ, отнесенных к вопросам местного значения.</w:t>
                  </w:r>
                </w:p>
                <w:p w:rsidR="00A873A0" w:rsidRDefault="00E02298">
                  <w:pPr>
                    <w:spacing w:before="190" w:after="190"/>
                    <w:ind w:left="1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A873A0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</w:t>
            </w:r>
            <w:r>
              <w:rPr>
                <w:b/>
                <w:bCs/>
                <w:color w:val="000000"/>
                <w:sz w:val="28"/>
                <w:szCs w:val="28"/>
              </w:rPr>
              <w:t>таты деятельности субъекта бюджетной отчетности"</w:t>
            </w:r>
          </w:p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A873A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Бюджетный процесс в Костинском сельском поселении основывался на нормах Бюджетного кодекса РФ, бюджетного законодательства Омской области, Устава поселения, а также Положения о бюджетном процессе.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Утверждение бюджета на 2025 год обеспечено до начала финансового года (20.12.2024).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Предельные значения его параметров, установленные ст. 184.1 Бюджетного кодекса РФ и ст.ст.15,20 Положения о бюджетном процессе, соблюдены.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Верхний предел муниципального </w:t>
                  </w:r>
                  <w:r>
                    <w:rPr>
                      <w:color w:val="000000"/>
                      <w:sz w:val="28"/>
                      <w:szCs w:val="28"/>
                    </w:rPr>
                    <w:t>долга по состоянию на 01.01.2025 был установлен в сумме равной нулю, в том числе верхний предел долга по муниципальным гарантиям - 0,0 тыс. рублей.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Программой муниципальных заимствований сельского поселения на 2025 год привлечение /погашение/ внутренних з</w:t>
                  </w:r>
                  <w:r>
                    <w:rPr>
                      <w:color w:val="000000"/>
                      <w:sz w:val="28"/>
                      <w:szCs w:val="28"/>
                    </w:rPr>
                    <w:t>аимствований не планировалось.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В течение 2025 года изменения и дополнения в бюджет Костинского сельского поселения вносились 11 раз и были связаны с корректировкой планируемых налоговых и неналоговых поступлений с учетом уровня их собираемости. Последняя </w:t>
                  </w:r>
                  <w:r>
                    <w:rPr>
                      <w:color w:val="000000"/>
                      <w:sz w:val="28"/>
                      <w:szCs w:val="28"/>
                    </w:rPr>
                    <w:t>корректировка параметров бюджета принята 30.12.2025.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Ежеквартально, по итогам исполнения бюджета поселения в 2025 году Главой поселения подписывались постановления об утверждении отчета об исполнении бюджета поселения, на заседаниях Совета поселения заслу</w:t>
                  </w:r>
                  <w:r>
                    <w:rPr>
                      <w:color w:val="000000"/>
                      <w:sz w:val="28"/>
                      <w:szCs w:val="28"/>
                    </w:rPr>
                    <w:t>шивалось исполнение бюджета поселения. Бюджетный учет в поселении велся в разрезе классификации, утвержденных приказом Минфина РФ от 21.12.2012 №171н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В течение всего года, Администрацией поселения, ее финансовым отделом проводилась определенная работа, об</w:t>
                  </w:r>
                  <w:r>
                    <w:rPr>
                      <w:color w:val="000000"/>
                      <w:sz w:val="28"/>
                      <w:szCs w:val="28"/>
                    </w:rPr>
                    <w:t>еспечивающая исполнение бюджета поселения, осуществление контроля  его исполнения, проведением единой финансовой и бюджетной политики.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Главным распорядителем средств бюджета Костинского сельского поселения осуществлялись мероприятия по повышению эффектив</w:t>
                  </w:r>
                  <w:r>
                    <w:rPr>
                      <w:color w:val="000000"/>
                      <w:sz w:val="28"/>
                      <w:szCs w:val="28"/>
                    </w:rPr>
                    <w:t>ности расходования бюджетных средств.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В целях повышения эффективности расходования бюджетных средств установлены месячные лимиты расходов на связь, утверждены нормы расхода материальных запасов.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В соответствии с требованиями ст.215.1 Бюджетного кодекса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РФ исполнение бюджета Костинского сельского поселения в 2025 году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осуществлялось на основе сводной бюджетной росписи и кассового плана.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Кассовый план исполнения бюджета велся финансовым отделом Администрации поселения в соответствии с Порядком составлен</w:t>
                  </w:r>
                  <w:r>
                    <w:rPr>
                      <w:color w:val="000000"/>
                      <w:sz w:val="28"/>
                      <w:szCs w:val="28"/>
                    </w:rPr>
                    <w:t>ия и ведения кассового плана исполнения бюджета сельского поселения.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Осуществление и учет операций по кассовым выплатам из бюджета Костинского сельского поселения ведется в условиях открытия в Комитете финансов и контроля Администрации Муромцевского муни</w:t>
                  </w:r>
                  <w:r>
                    <w:rPr>
                      <w:color w:val="000000"/>
                      <w:sz w:val="28"/>
                      <w:szCs w:val="28"/>
                    </w:rPr>
                    <w:t>ципального района Омской области  лицевого счета Администрации поселения.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По итогам проведенного анализа результатов деятельности Администрации Костинского сельского поселения в 2025 году следует отметить  следующее: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В рамках исполнения муниципальных </w:t>
                  </w:r>
                  <w:r>
                    <w:rPr>
                      <w:color w:val="000000"/>
                      <w:sz w:val="28"/>
                      <w:szCs w:val="28"/>
                    </w:rPr>
                    <w:t>программ администрацией были реализованы следующие основные мероприятия: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По подпрограмме "Развитие экономического потенциала Костинского сельского поселения Муромцевского муниципального района" в 2025 году: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Производилась своевременная расчистка дорог местного значения от снега во всех населенных пунктах поселения.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По данной подпрограмме было утверждено на 2025 год  - 617 821,20 тыс. рублей, исполнено – 566 057,69 рублей. Исполнение составило 91,6%.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П</w:t>
                  </w:r>
                  <w:r>
                    <w:rPr>
                      <w:color w:val="000000"/>
                      <w:sz w:val="28"/>
                      <w:szCs w:val="28"/>
                    </w:rPr>
                    <w:t>о договору электроснабжения ежемесячно оплачивается электроэнергия, потребленная уличным освещением, потрачено в 2025 году 68 602,30 тыс. рублей.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По подпрограмме "Развитие социально-культурной сферы Костинского сельского поселения Муромцевского муницип</w:t>
                  </w:r>
                  <w:r>
                    <w:rPr>
                      <w:color w:val="000000"/>
                      <w:sz w:val="28"/>
                      <w:szCs w:val="28"/>
                    </w:rPr>
                    <w:t>ального района Омской области" было исполнено -180 569,79 рублей.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Из бюджета сельского поселения кредиты и гарантии администрацией поселения учреждениям не предоставлялись. Муниципального долга нет.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                                           </w:t>
                  </w:r>
                  <w:r>
                    <w:rPr>
                      <w:color w:val="000000"/>
                      <w:sz w:val="28"/>
                      <w:szCs w:val="28"/>
                    </w:rPr>
                    <w:t>                                              Сведения о результатах деятельности.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По разделу 01 подразделу 02 бюджет поселения  утвержден  в сумме  1 016 807,94 рублей, исполнение составило в сумме 1 016 807,94 рублей</w:t>
                  </w:r>
                </w:p>
                <w:p w:rsidR="00A873A0" w:rsidRDefault="00E02298">
                  <w:pPr>
                    <w:ind w:firstLine="4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По разделу 01 подразделу 04 б</w:t>
                  </w:r>
                  <w:r>
                    <w:rPr>
                      <w:color w:val="000000"/>
                      <w:sz w:val="28"/>
                      <w:szCs w:val="28"/>
                    </w:rPr>
                    <w:t>юджет поселения  утвержден  в сумме 2 189 312,49 рублей, исполнение составило в сумме 2 189 312,49 рублей</w:t>
                  </w:r>
                </w:p>
                <w:p w:rsidR="00A873A0" w:rsidRDefault="00E02298">
                  <w:pPr>
                    <w:spacing w:before="50" w:after="5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По разделу 01 подразделу 13 бюджет поселения  утвержден  в сумме  961 672,22 рублей, исполнение составило в сумме 961 672,22 рублей</w:t>
                  </w:r>
                </w:p>
                <w:p w:rsidR="00A873A0" w:rsidRDefault="00E02298">
                  <w:pPr>
                    <w:spacing w:before="50" w:after="5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По разделу 03 подразделу 10 бюджет поселения  утвержден  в сумме  35 001,70 рублей, исполнение составило в сумме 35 001,70 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По разделу 04 подразделу 09 бюджет поселения  утвержден  в сумме  674 423,50 рублей, исполнение составило </w:t>
                  </w:r>
                  <w:r>
                    <w:rPr>
                      <w:color w:val="000000"/>
                      <w:sz w:val="28"/>
                      <w:szCs w:val="28"/>
                    </w:rPr>
                    <w:t>в сумме 622 659,99  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По разделу 05 подразделу 02 бюджет поселения  утвержден  в сумме 71 049,00 рублей, исполнение составило в сумме 71 049,00 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По разделу 05 подразделу 03 бюджет поселения  утвержден  в сумме 116 848,92 рубл</w:t>
                  </w:r>
                  <w:r>
                    <w:rPr>
                      <w:color w:val="000000"/>
                      <w:sz w:val="28"/>
                      <w:szCs w:val="28"/>
                    </w:rPr>
                    <w:t>ей, исполнение составило в сумме 116 848,92 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По разделу 08 подразделу 01 бюджет поселения  утвержден  в сумме 11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465,30 рублей, исполнение составило в сумме 11 465,30 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По разделу 10 подразделу 01 бюджет поселения  утвержден </w:t>
                  </w:r>
                  <w:r>
                    <w:rPr>
                      <w:color w:val="000000"/>
                      <w:sz w:val="28"/>
                      <w:szCs w:val="28"/>
                    </w:rPr>
                    <w:t> в сумме 140 278,32 рублей, исполнение составило в сумме 140 278,32 рублей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По разделу 11 подразделу 02 бюджет поселения  утвержден  в сумме 28 826,17 рублей, исполнение составило в сумме 28 826,17 рублей 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Исполнение доходной части бюджета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Костинского сельского поселения без учета безвозмездных поступлений за 2025 год составило 3 098 379,01 тыс. рублей. Эти доходы местного бюджета увеличились в сравнении с 2024 годом на 666 467,67 тыс. рублей. Из других уровней бюджета в виде субвенций, дот</w:t>
                  </w:r>
                  <w:r>
                    <w:rPr>
                      <w:color w:val="000000"/>
                      <w:sz w:val="28"/>
                      <w:szCs w:val="28"/>
                    </w:rPr>
                    <w:t>аций за 2025 год привлечено в местный бюджет 2 312 965,15 тыс. рублей, что ниже уровня предыдущего года на 3 058 221,32  тыс. рублей.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Расходы бюджета Костинского сельского поселения исполнены на 5 324 785,05 тыс. рублей.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Ежегодно проводи</w:t>
                  </w:r>
                  <w:r>
                    <w:rPr>
                      <w:color w:val="000000"/>
                      <w:sz w:val="28"/>
                      <w:szCs w:val="28"/>
                    </w:rPr>
                    <w:t>тся тщательный мониторинг соблюдения нормативов расходов на оплату труда и содержание органов местного самоуправления, установленных постановлением Правительства Омской области.  </w:t>
                  </w:r>
                </w:p>
                <w:p w:rsidR="00A873A0" w:rsidRDefault="00E02298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</w:t>
                  </w:r>
                </w:p>
              </w:tc>
            </w:tr>
          </w:tbl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A873A0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A873A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A873A0" w:rsidRDefault="00E02298">
                  <w:pPr>
                    <w:ind w:left="140" w:firstLine="72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Администрация разрабатывает и утверждает бюджет поселения на очередной финансовый год и плановый период.</w:t>
                  </w:r>
                </w:p>
                <w:p w:rsidR="00A873A0" w:rsidRDefault="00E02298">
                  <w:pPr>
                    <w:ind w:left="140" w:firstLine="72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Доходная часть бюджета</w:t>
                  </w:r>
                  <w:r>
                    <w:rPr>
                      <w:color w:val="000000"/>
                      <w:sz w:val="28"/>
                      <w:szCs w:val="28"/>
                    </w:rPr>
                    <w:t> поселения за 2025 г. состоит из собственных дохо</w:t>
                  </w:r>
                  <w:r>
                    <w:rPr>
                      <w:color w:val="000000"/>
                      <w:sz w:val="28"/>
                      <w:szCs w:val="28"/>
                    </w:rPr>
                    <w:t>дов (налоговые, неналоговые) и безвозмездных поступлений от бюджетов других уровней.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Всего поступило доходов 5 411 344,16  рублей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 том числе налоговые и неналоговые доходы (собственные) 3 098 379,01 (57,2%)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Из них налоги                                  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    1 724 145,35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Акцизы по подакцизным товарам           674 423,50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НДФЛ                                                         129 391,14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Земельный налог                                       252 050,94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Налог на имущество                              </w:t>
                  </w:r>
                  <w:r>
                    <w:rPr>
                      <w:color w:val="000000"/>
                      <w:sz w:val="28"/>
                      <w:szCs w:val="28"/>
                    </w:rPr>
                    <w:t>   148 148,77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Единый сельхозналог                               520 131,00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Госпошлина                                                11 800,00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 от использования имущества 1 362 433,66</w:t>
                  </w:r>
                </w:p>
                <w:p w:rsidR="00A873A0" w:rsidRDefault="00A873A0">
                  <w:pPr>
                    <w:jc w:val="both"/>
                  </w:pP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Оплата за использование имущества в сроки, предусмотренные договорами оплачена полностью.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                                                                                                                                 2 312 965,15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(42,7%)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Из них дотация на  выравнивание бюджетной обеспеченности                 2 033 053,15  рублей;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субвенции на осуществление воинского учета из федерального бюджета   130 863,00  рублей;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прочие межбюджетные трансферты                                 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                          22 000,00 рублей;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</w:t>
                  </w:r>
                  <w:r>
                    <w:rPr>
                      <w:color w:val="000000"/>
                      <w:sz w:val="28"/>
                      <w:szCs w:val="28"/>
                    </w:rPr>
                    <w:t>иями-                                                                            198 098,00  рублей.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Расходная часть бюджета</w:t>
                  </w:r>
                  <w:r>
                    <w:rPr>
                      <w:color w:val="000000"/>
                      <w:sz w:val="28"/>
                      <w:szCs w:val="28"/>
                    </w:rPr>
                    <w:t>  за 2025 год при уточненном плане 5 376 548,36 рублей исполнена на 99,0 %  к уточненной бюджетной росписи и составила 5 324 785,05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рублей. Остаток по дорожному фонду составил 51 763,51 руб.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Администрации осуществляется постоянный контроль за экономным и целевым использованием бюджетных средств. </w:t>
                  </w:r>
                </w:p>
                <w:p w:rsidR="00A873A0" w:rsidRDefault="00E02298">
                  <w:pPr>
                    <w:ind w:left="14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Лимиты потребления тепло ресурсов соблюдаются, перерасхода в отчетном периоде нет.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 з</w:t>
                  </w:r>
                  <w:r>
                    <w:rPr>
                      <w:color w:val="000000"/>
                      <w:sz w:val="28"/>
                      <w:szCs w:val="28"/>
                    </w:rPr>
                    <w:t>аключении контрактов (договоров) Администрация руководствуется  нормативными статьями </w:t>
                  </w:r>
                  <w:hyperlink r:id="rId7" w:history="1">
                    <w:r>
                      <w:rPr>
                        <w:rStyle w:val="a3"/>
                        <w:sz w:val="28"/>
                        <w:szCs w:val="28"/>
                      </w:rPr>
                      <w:t>Федерального закона</w:t>
                    </w:r>
                  </w:hyperlink>
                  <w:r>
                    <w:rPr>
                      <w:color w:val="000000"/>
                      <w:sz w:val="28"/>
                      <w:szCs w:val="28"/>
                    </w:rPr>
                    <w:t> от 05.04.2013 N 44-ФЗ "О контрактной системе в сфере закупок товаров, работ, услуг дл</w:t>
                  </w:r>
                  <w:r>
                    <w:rPr>
                      <w:color w:val="000000"/>
                      <w:sz w:val="28"/>
                      <w:szCs w:val="28"/>
                    </w:rPr>
                    <w:t>я обеспечения государственных и муниципальных нужд" (далее - Закон N 44-ФЗ).</w:t>
                  </w:r>
                </w:p>
                <w:p w:rsidR="00A873A0" w:rsidRDefault="00E02298">
                  <w:pPr>
                    <w:spacing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Администрацией  в отчетном периоде в соответствии с нормами Закона N 44-ФЗ заключено 50 контрактов, на сумму 2 380 277,71 рублей, причем все контракты заключены с единственным пос</w:t>
                  </w:r>
                  <w:r>
                    <w:rPr>
                      <w:color w:val="000000"/>
                      <w:sz w:val="28"/>
                      <w:szCs w:val="28"/>
                    </w:rPr>
                    <w:t>тавщиком (подрядчиком, исполнителем), 3 договора заключено на сумму 979 551,23 рублей (поставка тепловой энергии),  47 договоров заключено на сумму 1 400 726,48 рублей в соответствии с ч.1 п. 4 статьи 93 ФЗ 44-ФЗ.(закупки до 100 тыс. руб.) 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Штатная чи</w:t>
                  </w:r>
                  <w:r>
                    <w:rPr>
                      <w:color w:val="000000"/>
                      <w:sz w:val="28"/>
                      <w:szCs w:val="28"/>
                    </w:rPr>
                    <w:t>сленность Администрации по состоянию на начало и конец отчетного периода составляла 4,55 единиц.. Свободных вакансий по состоянию на 01.01.2026 нет. Штатная численность в течение 2025 года не изменялась.  В отчетном периоде  повышение квалификации  работни</w:t>
                  </w:r>
                  <w:r>
                    <w:rPr>
                      <w:color w:val="000000"/>
                      <w:sz w:val="28"/>
                      <w:szCs w:val="28"/>
                    </w:rPr>
                    <w:t>ков не проводилось.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Техническое состояние основных средств Администрации находится в удовлетворительном состоянии. Не пригодные к дальнейшей эксплуатации объекты основных средств своевременно списываются с баланса Администрации в порядке, установленном зак</w:t>
                  </w:r>
                  <w:r>
                    <w:rPr>
                      <w:color w:val="000000"/>
                      <w:sz w:val="28"/>
                      <w:szCs w:val="28"/>
                    </w:rPr>
                    <w:t>онодательством, с учетом требований ГРБС.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Обеспечение основными средствами (движимое имущество) осуществляется согласно бюджетной росписи и необходимости приобретения.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Администрации своевременно проводятся диагностика, техническое обслуживание, ремонт ос</w:t>
                  </w:r>
                  <w:r>
                    <w:rPr>
                      <w:color w:val="000000"/>
                      <w:sz w:val="28"/>
                      <w:szCs w:val="28"/>
                    </w:rPr>
                    <w:t>новных средств.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Сохранность основных средств обеспечивается посредством их закрепления за материально-ответственными лицами и проведением инвентаризации имущества.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Администрации имеется интернет-сайт, который поддерживается в актуальном состоянии.</w:t>
                  </w:r>
                </w:p>
              </w:tc>
            </w:tr>
          </w:tbl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873A0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4 "Анализ показателей бухгалтерской отчетности субъекта бюджетной отчетности"</w:t>
            </w:r>
          </w:p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A873A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A873A0" w:rsidRDefault="00E02298">
                  <w:pPr>
                    <w:spacing w:before="50" w:after="5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целях характеристики показателей финансовой отчетности в составе пояснительной записки представлены: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Сведения о движении нефинансовых активов (ф. 0503168)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В да</w:t>
                  </w:r>
                  <w:r>
                    <w:rPr>
                      <w:color w:val="000000"/>
                      <w:sz w:val="28"/>
                      <w:szCs w:val="28"/>
                    </w:rPr>
                    <w:t>нной форме отражено движение основных средств, в том числе: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Наличие основных средств на  начало года составляет 12 086 412,00 рублей, на 01.01.2026 года составляет 12 086 412,00 рублей. Выбытие 120 487,56 рублей.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Остаток на начало года по материальным запасам составил 3 646,38 рублей, на конец отчетного периода 8 279,43 рублей.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Поступило в текущем году материальных запасов на сумму 234 894,85 руб. Выбытие в текущем году составило 230 261,80  руб. на собстве</w:t>
                  </w:r>
                  <w:r>
                    <w:rPr>
                      <w:color w:val="000000"/>
                      <w:sz w:val="28"/>
                      <w:szCs w:val="28"/>
                    </w:rPr>
                    <w:t>нные нужды администрации.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Сведения о дебиторской и кредиторской задолженности (ф.0503169)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Кредиторская задолженность на 01.01.2026 г. составляет:  6 970,08 рублей  "Ростелеком",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                                                           </w:t>
                  </w:r>
                  <w:r>
                    <w:rPr>
                      <w:color w:val="000000"/>
                      <w:sz w:val="28"/>
                      <w:szCs w:val="28"/>
                    </w:rPr>
                    <w:t>                                     622,69 рублей   ООО "Омская энергосбытовая компания"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Сведения о финансовых вложениях (ф. 0503171)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 Таблица не содержит сведений.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Сведения о муниципальном долге (ф.0503172)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 Таблица не содержит сведений.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Сведения о изменении остатков валюты баланса (ф. 0503173)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    Изменение остатков  валюты баланса нет.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Сведения о недостачах и хищения материальных ценностей, денежных средств (ф.0</w:t>
                  </w:r>
                  <w:r>
                    <w:rPr>
                      <w:color w:val="000000"/>
                      <w:sz w:val="28"/>
                      <w:szCs w:val="28"/>
                    </w:rPr>
                    <w:t>503176)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В соответствии со ст.11 Федерального закона «О бухгалтерском учете» от 23.02.2011 №402 проведена плановая инвентаризация активов и обязательств.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Недостач и хищений не установлено.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"Сведения об остатках денежных средств на </w:t>
                  </w:r>
                  <w:r>
                    <w:rPr>
                      <w:color w:val="000000"/>
                      <w:sz w:val="28"/>
                      <w:szCs w:val="28"/>
                    </w:rPr>
                    <w:t>счетах получателя бюджетных средств" (ф.0503178)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Остаток средств местного бюджета поселения по состоянию на 01.01.2025 года составил   73 376,13 рублей, на конец отчетного периода на 01.01.2026г.  составил 159 935,24 рублей.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В 2025 году применял</w:t>
                  </w:r>
                  <w:r>
                    <w:rPr>
                      <w:color w:val="000000"/>
                      <w:sz w:val="28"/>
                      <w:szCs w:val="28"/>
                    </w:rPr>
                    <w:t>ся программно-целевой метод планирования бюджетных ассигнований.</w:t>
                  </w:r>
                </w:p>
                <w:p w:rsidR="00A873A0" w:rsidRDefault="00A873A0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00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17"/>
                    <w:gridCol w:w="4057"/>
                    <w:gridCol w:w="1227"/>
                  </w:tblGrid>
                  <w:tr w:rsidR="00A873A0">
                    <w:tc>
                      <w:tcPr>
                        <w:tcW w:w="47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A873A0">
                        <w:pPr>
                          <w:jc w:val="both"/>
                        </w:pPr>
                      </w:p>
                      <w:p w:rsidR="00A873A0" w:rsidRDefault="00A873A0">
                        <w:pPr>
                          <w:jc w:val="both"/>
                        </w:pPr>
                      </w:p>
                    </w:tc>
                    <w:tc>
                      <w:tcPr>
                        <w:tcW w:w="40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A873A0">
                        <w:pPr>
                          <w:jc w:val="both"/>
                        </w:pPr>
                      </w:p>
                      <w:p w:rsidR="00A873A0" w:rsidRDefault="00A873A0">
                        <w:pPr>
                          <w:jc w:val="both"/>
                        </w:pPr>
                      </w:p>
                    </w:tc>
                    <w:tc>
                      <w:tcPr>
                        <w:tcW w:w="12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A873A0">
                        <w:pPr>
                          <w:jc w:val="both"/>
                        </w:pPr>
                      </w:p>
                      <w:p w:rsidR="00A873A0" w:rsidRDefault="00A873A0">
                        <w:pPr>
                          <w:jc w:val="both"/>
                        </w:pP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</w:tbl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873A0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5 "Прочие вопросы деятельности субъекта бюджетной отчетности"</w:t>
            </w:r>
          </w:p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A873A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A873A0" w:rsidRDefault="00E02298">
                  <w:pPr>
                    <w:spacing w:before="50" w:after="5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Главным распорядителем средств бюджета сельского поселения проводились мероприятия внутреннего контроля за соблюдением требований бюджетного законодательства, целевым использованием бюджетных средств, а также правильным ведением бюджетного учета. Перед сос</w:t>
                  </w:r>
                  <w:r>
                    <w:rPr>
                      <w:color w:val="000000"/>
                      <w:sz w:val="28"/>
                      <w:szCs w:val="28"/>
                    </w:rPr>
                    <w:t>тавлением годовой бюджетной отчетности, при смене материально-ответственных лиц проведены инвентаризации. По результатам, которых, расхождений нет, недостач и хищений также нет. Все требования к обеспечению сохранности муниципального имущества соблюдены.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    Ведение бюджетного учета в Администрации Костинского сельского поселения осуществляется на основании действующих инструкций по бюджетному учету, утвержденных приказами Министерства финансов Российской Федерации. Основные задачи бюджетного учета: форми</w:t>
                  </w:r>
                  <w:r>
                    <w:rPr>
                      <w:color w:val="000000"/>
                      <w:sz w:val="28"/>
                      <w:szCs w:val="28"/>
                    </w:rPr>
                    <w:t>рование полной и достоверной информации о состоянии активов и обязательств, формирование полной и достоверной информации об исполнении бюджета выполняются.</w:t>
                  </w:r>
                </w:p>
                <w:p w:rsidR="00A873A0" w:rsidRDefault="00E0229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 </w:t>
                  </w:r>
                </w:p>
              </w:tc>
            </w:tr>
          </w:tbl>
          <w:p w:rsidR="00A873A0" w:rsidRDefault="00E022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873A0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</w:tbl>
    <w:p w:rsidR="00A873A0" w:rsidRDefault="00A873A0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A873A0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A873A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ИСПОЛНЯЮЩИЙ ОБЯЗАННОСТИ ГЛАВЫ АДМИНИСТРАЦИИ КОСТИНСКОГО СЕЛЬСКОГО ПОСЕЛЕНИЯ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A873A0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Петров Роман Петрович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E0229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A873A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A873A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r>
                          <w:rPr>
                            <w:color w:val="000000"/>
                          </w:rPr>
                          <w:t>Сертификат: 061ABC253896E59B1FAE8D89DD04FAA0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Владелец: АДМИНИСТРАЦИЯ КОСТИНСКОГО СЕЛЬСКОГО ПОСЕЛЕНИЯ МУРОМЦЕВСКОГО МУНИЦИПАЛЬНОГО РАЙОНА ОМСКОЙ ОБЛАСТИ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Действителен с 10.02.2026 по 06.05.2027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Дата подписания: 12.02.2026</w:t>
                        </w: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A873A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Главный бухгалтер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A873A0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Гранкина Галина Николаевна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E0229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A873A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A873A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r>
                          <w:rPr>
                            <w:color w:val="000000"/>
                          </w:rPr>
                          <w:t>Сертификат: 730757EE0AFDE5D5F12FB33E97250E96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Владелец: Гранкина Галина Николаевна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Действителен с 24.11.2025 по 17.02.2027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Дата подписания: 12.02.2026</w:t>
                        </w: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A873A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Главный бухгалтер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A873A0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Гранкина Галина Николаевна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E0229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A873A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A873A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r>
                          <w:rPr>
                            <w:color w:val="000000"/>
                          </w:rPr>
                          <w:t>Сертификат: 730757EE0AFDE5D5F12FB33E97250E96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Владелец: Гранкина Галина Николаевна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Действителен с 24.11.2025 по 17.02.2027</w:t>
                        </w:r>
                      </w:p>
                      <w:p w:rsidR="00A873A0" w:rsidRDefault="00E02298">
                        <w:r>
                          <w:rPr>
                            <w:color w:val="000000"/>
                          </w:rPr>
                          <w:t>Дата подписания: 12.02.2026</w:t>
                        </w: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  <w:tr w:rsidR="00A873A0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A873A0">
                  <w:pPr>
                    <w:spacing w:line="1" w:lineRule="auto"/>
                  </w:pP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A873A0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3A0" w:rsidRDefault="00E02298">
                  <w:r>
                    <w:rPr>
                      <w:color w:val="000000"/>
                      <w:sz w:val="28"/>
                      <w:szCs w:val="28"/>
                    </w:rPr>
                    <w:t>12 февраля 2026 г.</w:t>
                  </w: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</w:tbl>
    <w:p w:rsidR="00A873A0" w:rsidRDefault="00A873A0">
      <w:pPr>
        <w:sectPr w:rsidR="00A873A0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A873A0" w:rsidRDefault="00A873A0">
      <w:pPr>
        <w:rPr>
          <w:vanish/>
        </w:rPr>
      </w:pPr>
      <w:bookmarkStart w:id="4" w:name="__bookmark_10"/>
      <w:bookmarkEnd w:id="4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A873A0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A873A0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A873A0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A873A0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5" w:name="_Toc0503169"/>
      <w:bookmarkEnd w:id="5"/>
      <w:tr w:rsidR="00A873A0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A873A0">
            <w:pPr>
              <w:rPr>
                <w:vanish/>
              </w:rPr>
            </w:pPr>
            <w:r>
              <w:fldChar w:fldCharType="begin"/>
            </w:r>
            <w:r w:rsidR="00E02298">
              <w:instrText xml:space="preserve"> TC "0503169" \f C \l "1"</w:instrText>
            </w:r>
            <w:r>
              <w:fldChar w:fldCharType="end"/>
            </w:r>
          </w:p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A873A0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6" w:name="__bookmark_11"/>
                <w:bookmarkStart w:id="7" w:name="_TocПричины_увеличения_просроченной_деби"/>
                <w:bookmarkEnd w:id="6"/>
                <w:bookmarkEnd w:id="7"/>
                <w:p w:rsidR="00A873A0" w:rsidRDefault="00A873A0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E02298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A873A0" w:rsidRDefault="00E0229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</w:t>
                  </w:r>
                  <w:r>
                    <w:rPr>
                      <w:color w:val="000000"/>
                      <w:sz w:val="28"/>
                      <w:szCs w:val="28"/>
                    </w:rPr>
                    <w:t>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A873A0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A873A0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A873A0" w:rsidRDefault="00E02298">
                              <w:pPr>
                                <w:jc w:val="center"/>
                              </w:pPr>
                              <w:bookmarkStart w:id="8" w:name="__bookmark_12"/>
                              <w:bookmarkEnd w:id="8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A873A0" w:rsidRDefault="00A873A0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10601030101000110 1 20511000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41 389,08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сумма: 20817.23; пояснение:</w:t>
                        </w:r>
                      </w:p>
                    </w:tc>
                  </w:tr>
                  <w:tr w:rsidR="00A873A0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A873A0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A873A0" w:rsidRDefault="00E02298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101</w:t>
                              </w:r>
                            </w:p>
                          </w:tc>
                        </w:tr>
                      </w:tbl>
                      <w:p w:rsidR="00A873A0" w:rsidRDefault="00A873A0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70 578,81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A873A0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A873A0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A873A0" w:rsidRDefault="00E02298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102</w:t>
                              </w:r>
                            </w:p>
                          </w:tc>
                        </w:tr>
                      </w:tbl>
                      <w:p w:rsidR="00A873A0" w:rsidRDefault="00A873A0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10606043103000110 1 20511000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1 092,01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A873A0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113 059,90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  <w:bookmarkStart w:id="9" w:name="_TocПричины_увеличения_просроченной_кред"/>
            <w:bookmarkEnd w:id="9"/>
            <w:tr w:rsidR="00A873A0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873A0" w:rsidRDefault="00A873A0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E02298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A873A0" w:rsidRDefault="00E02298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</w:t>
                  </w:r>
                  <w:r>
                    <w:rPr>
                      <w:color w:val="000000"/>
                      <w:sz w:val="28"/>
                      <w:szCs w:val="28"/>
                    </w:rPr>
                    <w:t>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A873A0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A873A0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A873A0" w:rsidRDefault="00E02298">
                              <w:pPr>
                                <w:jc w:val="center"/>
                              </w:pPr>
                              <w:bookmarkStart w:id="10" w:name="__bookmark_13"/>
                              <w:bookmarkEnd w:id="10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A873A0" w:rsidRDefault="00A873A0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A873A0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873A0" w:rsidRDefault="00E0229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A873A0" w:rsidRDefault="00A873A0">
                  <w:pPr>
                    <w:spacing w:line="1" w:lineRule="auto"/>
                  </w:pPr>
                </w:p>
              </w:tc>
            </w:tr>
          </w:tbl>
          <w:p w:rsidR="00A873A0" w:rsidRDefault="00A873A0">
            <w:pPr>
              <w:spacing w:line="1" w:lineRule="auto"/>
            </w:pPr>
          </w:p>
        </w:tc>
      </w:tr>
      <w:tr w:rsidR="00A873A0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</w:tbl>
    <w:p w:rsidR="00A873A0" w:rsidRDefault="00A873A0">
      <w:pPr>
        <w:sectPr w:rsidR="00A873A0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A873A0" w:rsidRDefault="00A873A0">
      <w:pPr>
        <w:rPr>
          <w:vanish/>
        </w:rPr>
      </w:pPr>
      <w:bookmarkStart w:id="11" w:name="__bookmark_14"/>
      <w:bookmarkEnd w:id="11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A873A0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A873A0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A873A0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0503173_3;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0503171; 0503184; 0503178_3; 0503190; 0503178_1; 0503167; 0503174; 0503175; 0503296; 0503128-НП; 0503172; 0503173_1</w:t>
            </w: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A873A0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  <w:jc w:val="center"/>
            </w:pPr>
          </w:p>
        </w:tc>
      </w:tr>
      <w:tr w:rsidR="00A873A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E022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A873A0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3A0" w:rsidRDefault="00A873A0">
            <w:pPr>
              <w:spacing w:line="1" w:lineRule="auto"/>
            </w:pPr>
          </w:p>
        </w:tc>
      </w:tr>
    </w:tbl>
    <w:p w:rsidR="00E02298" w:rsidRDefault="00E02298"/>
    <w:sectPr w:rsidR="00E02298" w:rsidSect="00A873A0">
      <w:headerReference w:type="default" r:id="rId12"/>
      <w:footerReference w:type="default" r:id="rId13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298" w:rsidRDefault="00E02298" w:rsidP="00A873A0">
      <w:r>
        <w:separator/>
      </w:r>
    </w:p>
  </w:endnote>
  <w:endnote w:type="continuationSeparator" w:id="0">
    <w:p w:rsidR="00E02298" w:rsidRDefault="00E02298" w:rsidP="00A8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298" w:rsidRDefault="00E02298" w:rsidP="00A873A0">
      <w:r>
        <w:separator/>
      </w:r>
    </w:p>
  </w:footnote>
  <w:footnote w:type="continuationSeparator" w:id="0">
    <w:p w:rsidR="00E02298" w:rsidRDefault="00E02298" w:rsidP="00A87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873A0">
      <w:trPr>
        <w:trHeight w:val="56"/>
      </w:trPr>
      <w:tc>
        <w:tcPr>
          <w:tcW w:w="10421" w:type="dxa"/>
        </w:tcPr>
        <w:p w:rsidR="00A873A0" w:rsidRDefault="00A873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A0"/>
    <w:rsid w:val="00252826"/>
    <w:rsid w:val="00A873A0"/>
    <w:rsid w:val="00E0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873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873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emo.garant.ru/document?id=70253464&amp;sub=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2663</Words>
  <Characters>15184</Characters>
  <Application>Microsoft Office Word</Application>
  <DocSecurity>0</DocSecurity>
  <Lines>126</Lines>
  <Paragraphs>35</Paragraphs>
  <ScaleCrop>false</ScaleCrop>
  <Company>Home</Company>
  <LinksUpToDate>false</LinksUpToDate>
  <CharactersWithSpaces>17812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2026-03-10T04:01:00Z</dcterms:created>
  <dcterms:modified xsi:type="dcterms:W3CDTF">2026-03-10T04:01:00Z</dcterms:modified>
</cp:coreProperties>
</file>