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9F6402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9F6402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F6402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9F6402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9F6402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9F6402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9F640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9F6402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  <w:jc w:val="center"/>
                  </w:pP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</w:tr>
      <w:tr w:rsidR="009F640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</w:tr>
      <w:tr w:rsidR="009F640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  <w:u w:val="single"/>
              </w:rPr>
            </w:pP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Карбызинского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муниципального района Омской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9F6402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52634413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</w:tr>
      <w:tr w:rsidR="009F6402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9F6402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9F6402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9F6402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9F6402" w:rsidRDefault="009F6402">
      <w:pPr>
        <w:rPr>
          <w:vanish/>
        </w:rPr>
      </w:pPr>
      <w:bookmarkStart w:id="2" w:name="__bookmark_3"/>
      <w:bookmarkEnd w:id="2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9F6402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9F64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9F6402" w:rsidRDefault="00EA26B4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Администрация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находится по адресу: 646455 Омская область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 село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улица Центральная дом 3. Является органом местного самоуправления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области, осуществляет св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ою деятельность в соответствии с Федеральным законом «Об общих принципах организации местного самоуправления в Российской Федерации», Уставом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и другими законодательными актами. Основной задачей органа местного самоуправлен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ия является формирование, утверждение, исполнение бюджета поселения 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контроль за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исполнением бюджета. Финансирование деятельности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осуществляется за счет: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-н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алоговых и неналоговых доходов; -безвозмездных пост</w:t>
                  </w:r>
                  <w:r>
                    <w:rPr>
                      <w:color w:val="000000"/>
                      <w:sz w:val="28"/>
                      <w:szCs w:val="28"/>
                    </w:rPr>
                    <w:t>уплений. Представленные показатели бухгалтерской (финансовой) отчетности учреждения сформированы исходя из нормативных правовых актов, регулирующих ведение бюджетного учета и составление бюджетной отчетности, а именно:</w:t>
                  </w:r>
                </w:p>
                <w:p w:rsidR="009F6402" w:rsidRDefault="00EA26B4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 приказа Министерства финансов Росси</w:t>
                  </w:r>
                  <w:r>
                    <w:rPr>
                      <w:color w:val="000000"/>
                      <w:sz w:val="28"/>
                      <w:szCs w:val="28"/>
                    </w:rPr>
                    <w:t>йской Федерации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            </w:r>
                </w:p>
                <w:p w:rsidR="009F6402" w:rsidRDefault="00EA26B4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приказа Министерства финансов Российской Федер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ации от 25.03.2011 №33н «Об утверждении Инструкции о порядке составления, представления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годовой, квартальной бухгалтерской отчетности государственных (муниципальных) бюджетных и автономных учреждений»;</w:t>
                  </w:r>
                </w:p>
                <w:p w:rsidR="009F6402" w:rsidRDefault="00EA26B4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приказа Министерства финансов Российской Федерации 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 29.11.2017 №209н «Об утверждении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Порядка применения классификации операций сектора государственного управления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9F6402" w:rsidRDefault="00EA26B4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приказа Министерства финансов Российской Федерации от 24.05.2022 №82н  «О Порядке формирования и применения кодов бюджетной классификации Ро</w:t>
                  </w:r>
                  <w:r>
                    <w:rPr>
                      <w:color w:val="000000"/>
                      <w:sz w:val="28"/>
                      <w:szCs w:val="28"/>
                    </w:rPr>
                    <w:t>ссийской Федерации, их структуре и принципах назначения»;</w:t>
                  </w:r>
                </w:p>
                <w:p w:rsidR="009F6402" w:rsidRDefault="00EA26B4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приказа Министерства финансов Российской Федерации от 10.06.2024 №85н «Об утверждении кодов (перечней кодов) бюджетной классификации Российской Федерации на 2025 год (на 2025 год и на плановый пер</w:t>
                  </w:r>
                  <w:r>
                    <w:rPr>
                      <w:color w:val="000000"/>
                      <w:sz w:val="28"/>
                      <w:szCs w:val="28"/>
                    </w:rPr>
                    <w:t>иод 2026 и 2027 годов)»;</w:t>
                  </w:r>
                </w:p>
                <w:p w:rsidR="009F6402" w:rsidRDefault="00EA26B4">
                  <w:pPr>
                    <w:ind w:firstLine="700"/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- приказа Комитета финансов и контроля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области от 10.12.2025 №26 «О сроках предоставления  главными распорядителями средств местного бюджета, главными администраторами доходо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в местного бюджета, главными администраторами источников финансирования дефицита местного бюджета годовой консолидированной бюджетной  отчётности, годовой сводной бухгалтерской отчетности бюджетных учреждений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сти за 2025 год в Комитет финансов и контроля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района Омской области.</w:t>
                  </w:r>
                </w:p>
                <w:p w:rsidR="009F6402" w:rsidRDefault="00EA26B4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В составе годовой отчетности 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 включены следующие формы: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Справка по заключению счетов бюджетного у</w:t>
                  </w:r>
                  <w:r>
                    <w:rPr>
                      <w:color w:val="000000"/>
                      <w:sz w:val="28"/>
                      <w:szCs w:val="28"/>
                    </w:rPr>
                    <w:t>чета отчетного финансового года (ф.0503110); Отчет об исполнении бюджета (ф.0503117); Баланс исполнения бюджета (ф.0503120); Отчет о финансовых результатах деятельности; (ф.0503121); Отчет о движении денежных средств (ф.0503123); Справка по консолидированн</w:t>
                  </w:r>
                  <w:r>
                    <w:rPr>
                      <w:color w:val="000000"/>
                      <w:sz w:val="28"/>
                      <w:szCs w:val="28"/>
                    </w:rPr>
                    <w:t>ым расчетам (ф.0503125); Отчет о кассовом поступлении и выбытии бюджетных средств (ф.0503124);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Отчет о бюджетных обязательствах (ф.0503128); Баланс по поступлениям и выбытиям бюджетных средств (ф.0503140); Отчет по поступлениям и выбытиям (ф.0503151); Свед</w:t>
                  </w:r>
                  <w:r>
                    <w:rPr>
                      <w:color w:val="000000"/>
                      <w:sz w:val="28"/>
                      <w:szCs w:val="28"/>
                    </w:rPr>
                    <w:t>ения об исполнении бюджета (ф.0503164); Сведения об исполнении мероприятий в рамках целевых программ (ф.0503166); Сведения о движении нефинансовых активов (ф.0503168); Сведения о дебиторской и кредиторской задолженности (ф.0503169);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Пояснительная записка (</w:t>
                  </w:r>
                  <w:r>
                    <w:rPr>
                      <w:color w:val="000000"/>
                      <w:sz w:val="28"/>
                      <w:szCs w:val="28"/>
                    </w:rPr>
                    <w:t>ф.0503160). Обязанность по ведению бухгалтерского учета и составлению бухгалтерской отчетности возложена на ведущего специалиста Щекатурову Надежду Александровну. Штатная численность Администрации в 2025 году составила 4,5 единиц.  Муниципальные служащие –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2 единицы: Глава Администрации - 1 единица, ведущий специалист – 1 единица.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Немуниципальные служащие – 2,5 единицы: секретарь - 0,5, водитель – 0,5 единицы, рабочий – 0,4 единицы, уборщица - 0,3 единицы, истопники – 0,8 единицы.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 1 ноября 2025 года в свя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зи с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увольнением по собственному желанию Главы сельского поселения на секретаря администрации возложена функция временного исполнения обязанностей Главы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с доплатой в размере 30 процентов от занимаемой должности.</w:t>
                  </w:r>
                </w:p>
              </w:tc>
            </w:tr>
          </w:tbl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9F640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2 "Результаты деятельности субъекта бюджетной отчетности"</w:t>
            </w:r>
          </w:p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9F64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9F6402" w:rsidRDefault="00EA26B4">
                  <w:pPr>
                    <w:spacing w:before="100"/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Дебиторская задолженность на 1 января 2026 года составляет: 606,46 рублей – переплата в ООО «Омская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энергосбытовая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компания» за электроэнергию,</w:t>
                  </w:r>
                  <w:r>
                    <w:rPr>
                      <w:color w:val="FF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399614,53 рублей просроченная задолженность за аренду земельного участка общество с ограниченной ответственностью Производственно-Коммерческая фирма 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Сиберия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». 11 декабря 2025 года ООО 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Сиберия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» вернула находящийся в аренде земельный участок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СП по решению арбитражного суда Омской области от 26.08.2025 года №А46-8948/2025.</w:t>
                  </w:r>
                  <w:proofErr w:type="gramEnd"/>
                </w:p>
                <w:p w:rsidR="009F6402" w:rsidRDefault="00EA26B4">
                  <w:pPr>
                    <w:spacing w:before="190" w:after="190"/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Кредиторская задолженность на 1 января 2026 года составляет 158867,36 рублей, в том числе: за услуги связи – 4679,51 рублей, за услуги по обращению ТКО – 3281,2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4 рублей, за доставку угля  - 5 930,00 рублей, за уголь – 60905,00 рублей, за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акарицидную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обработку кладбищ - 16320,00 рублей, за обслуживание пожарной сигнализации – 12150,00 рублей, за услуги по содержанию дорог поселения – 13356,45 рублей, транспортный </w:t>
                  </w:r>
                  <w:r>
                    <w:rPr>
                      <w:color w:val="000000"/>
                      <w:sz w:val="28"/>
                      <w:szCs w:val="28"/>
                    </w:rPr>
                    <w:t>налог – 147,00 рублей, земельный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налог – 4023,00 рублей, страховые взносы – 38075,16 рублей.</w:t>
                  </w:r>
                </w:p>
              </w:tc>
            </w:tr>
          </w:tbl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F640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3 "Анализ отчета об исполнении бюджета субъектом бюджетной отчетности"</w:t>
            </w:r>
          </w:p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9F64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Доходы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сельского поселения.</w:t>
                  </w:r>
                  <w:r>
                    <w:rPr>
                      <w:color w:val="000000"/>
                      <w:sz w:val="28"/>
                      <w:szCs w:val="28"/>
                    </w:rPr>
                    <w:t> На 2025 год бюджетные ассигнования ут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верждены в сумме 3112936,87 рублей, исполнены на 99,38 %. По сравнению с 2024 годом в 2025 году уровень полученных доходов снизился на 108784,36 рублей.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В 2025 году произошло увеличение следующих доходов: - налога на доходы физических лиц на сумму 1840,10 </w:t>
                  </w:r>
                  <w:r>
                    <w:rPr>
                      <w:color w:val="000000"/>
                      <w:sz w:val="28"/>
                      <w:szCs w:val="28"/>
                    </w:rPr>
                    <w:t>рублей, что составило 35469,33 рублей; от уплаты акцизов по подакцизным товарам на 3866,70 рублей, что составило 449615,81 рублей; единого сельскохозяйственного налога на сумму 2411,79 рублей, что составило 3718,84 рублей; госпошлины на сумму 1 000,00 рубл</w:t>
                  </w:r>
                  <w:r>
                    <w:rPr>
                      <w:color w:val="000000"/>
                      <w:sz w:val="28"/>
                      <w:szCs w:val="28"/>
                    </w:rPr>
                    <w:t>ей, что составила 2200,00 рублей.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По сравнению с 2024 годом в 2025 году снизились следующие доходы: налог на имущество физических лиц на 42815,18 рублей, что составило «минус» 19442,77 рублей (в 2024 году сумма налога на имущества сложилась на уровне 23372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,41 рублей); - земельного налога на сумму 37416,76 рублей, что составило 131644,31 рублей; доходов от сдачи в аренду имущества на 6654,18 рублей и в 2025 году составило 0,00 рублей (имеется просроченная кредиторская задолженность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ООО 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Сиберия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» в сумме 3996</w:t>
                  </w:r>
                  <w:r>
                    <w:rPr>
                      <w:color w:val="000000"/>
                      <w:sz w:val="28"/>
                      <w:szCs w:val="28"/>
                    </w:rPr>
                    <w:t>14,53 рублей); от оказания платных услуг (работ) и компенсации затрат государства на сумму 3558,83 рублей и в 2025 году составили 2459,93 рублей.  Доходы от размещения НТО остались без изменений 7 500,00 рублей в 2025 году и 7 500,00 рублей в 2024 году. До</w:t>
                  </w:r>
                  <w:r>
                    <w:rPr>
                      <w:color w:val="000000"/>
                      <w:sz w:val="28"/>
                      <w:szCs w:val="28"/>
                    </w:rPr>
                    <w:t>ходы от сдачи в аренду АО «Почта России» имущества остались на уровне 2024 года в сумме 58591,56 рублей. Безвозмездные поступления (дотации, субвенции и иные межбюджетные трансферты) от других бюджетов бюджетной системы Российской Федерации в 2025 году вып</w:t>
                  </w:r>
                  <w:r>
                    <w:rPr>
                      <w:color w:val="000000"/>
                      <w:sz w:val="28"/>
                      <w:szCs w:val="28"/>
                    </w:rPr>
                    <w:t>олнены на 100 % и в общей сумме составили 2419896,99 рублей, что на 27458,00 рублей меньше, чем в 2024 году. Дотации на выравнивание бюджетной обеспеченности увеличились на 358449,64 рублей: с 451569,42 рублей в 2024 года до 810019,06 рублей в 2025 году. С</w:t>
                  </w:r>
                  <w:r>
                    <w:rPr>
                      <w:color w:val="000000"/>
                      <w:sz w:val="28"/>
                      <w:szCs w:val="28"/>
                    </w:rPr>
                    <w:t>убвенции на осуществление первичного воинского учета в 2025 году по сравнению с 2024 годом увеличились на 438,00 рублей и составили 38252,00 рублей. Иные межбюджетные трансферты снизились на 386345,64 рублей и составили 1571625,93 рублей. Остаток средств 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а едином счете бюджета на 1 января 2026 года составил 36715,28 рублей.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 Расходы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сельского поселения.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  Расходы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в 2025 году составили 3099352,51 рублей, что меньше плана на 36715,28 рублей (исполнено 98,83% плана) и меньше чем в 2024 году на 234421,55 рублей.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разделу 01 00 «Общегосударственные вопросы» сумма исполненных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расходов в 2025 году  по сравнению с 2024 годом снизилась на 229190,15 рублей и составила 2709801,12 рублей. В 2025 году расходы по данному разделу распределились следующим образом: 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01 02 «Функционирование высшего должностного лица субъекта Российской Фе</w:t>
                  </w:r>
                  <w:r>
                    <w:rPr>
                      <w:color w:val="000000"/>
                      <w:sz w:val="28"/>
                      <w:szCs w:val="28"/>
                    </w:rPr>
                    <w:t>дерации и муниципального образования» (глава сельского поселения) в сумме 859106,52 рублей, из которых 636727,11 рублей на заработную плату и 222379,41 рублей на страховые взносы. По сравнению с 2024 годом в 2025 году данные расходы увеличились на 122999,6</w:t>
                  </w:r>
                  <w:r>
                    <w:rPr>
                      <w:color w:val="000000"/>
                      <w:sz w:val="28"/>
                      <w:szCs w:val="28"/>
                    </w:rPr>
                    <w:t>6 рублей.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в сумме 1704558,02 рублей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 :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из них - заработная плата работников аппарата управления 129</w:t>
                  </w:r>
                  <w:r>
                    <w:rPr>
                      <w:color w:val="000000"/>
                      <w:sz w:val="28"/>
                      <w:szCs w:val="28"/>
                    </w:rPr>
                    <w:t>8207,92 рублей (в том числе расходы по больничным листам в сумме 3917,89 рублей); - страховые взносы – 346925,49 рублей; ОСАГО – 5 963,24 рублей; - расходы на оплату электрической энергии администрации поселения 29809,65 рублей; приобретение канцелярских п</w:t>
                  </w:r>
                  <w:r>
                    <w:rPr>
                      <w:color w:val="000000"/>
                      <w:sz w:val="28"/>
                      <w:szCs w:val="28"/>
                    </w:rPr>
                    <w:t>ринадлежностей на сумму 6337,00 рублей; уплата налога на имущество 617,00 рублей, земельного налога – 16092,00 рублей, транспортного налога – 588,00 рублей, пени по страховым взносам на сумму 17,72 рублей. По сравнению с 2024 годом в 2025 году данные расхо</w:t>
                  </w:r>
                  <w:r>
                    <w:rPr>
                      <w:color w:val="000000"/>
                      <w:sz w:val="28"/>
                      <w:szCs w:val="28"/>
                    </w:rPr>
                    <w:t>ды увеличились на 120718,17 рублей.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разделу 0113 «Другие общегосударственные расходы» сумма утвержденных расходов в 2025 году равна 161567,82 рублей, сумма фактических расходов равна 146136,58 рублей и составила 90,47 процентов от плана. Фактические рас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ходы в 2025 году по сравнению с 2024 годом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уменьшились на 14527,68 рублей.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В данные расходы включены: оплата услуг связи – 54223,22 рублей; ремонт принтера и заправка картриджей – 4970,00 рублей; оплата за антивирус «Касперский» и продление прав использова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ния программы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СБиС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– 8199,00 рублей; оплата расходов по обращению с ТКО – 14219,92 рублей; обслуживание пожарной сигнализации в здании администрации 4050,00 рублей; оплата за информационные услуги в газете «Знамя труда» (поздравление) 470,00 рублей;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оплата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за водоснабжение на сумму 834,83 рублей; приобретение ГСМ – 43992,31 рублей; приобретение стройматериалов – 8592,00 рублей; приобретение хоз. материалов и запчастей на автомобиль администрации на сумму 3997,00 рублей; приобретение материалов однократного </w:t>
                  </w:r>
                  <w:r>
                    <w:rPr>
                      <w:color w:val="000000"/>
                      <w:sz w:val="28"/>
                      <w:szCs w:val="28"/>
                    </w:rPr>
                    <w:t>применения 2588,30 рублей.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разделу 02 03 «Мобилизационная и вневойсковая подготовка» в 2025 году расходы составили 38252,00 рублей, что по сравнению с 2024 годом больше на 738,00 рублей. К ним относятся расходы на осуществление первичного воинского учет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а на территориях, где отсутствуют военные комиссариаты, и включают в себя заработную плату – 29379,42 рублей и  начисления на выплаты по оплате труда – 8872,58 рублей. Ведение воинского учета возложено на секретаря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</w:t>
                  </w:r>
                  <w:r>
                    <w:rPr>
                      <w:color w:val="000000"/>
                      <w:sz w:val="28"/>
                      <w:szCs w:val="28"/>
                    </w:rPr>
                    <w:t>еления на 0,1 ставки. 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По разделу 0310 «Защита населения и территории от чрезвычайных ситуаций природного и техногенного характера, пожарная безопасность» расходы составили 53300,00 рублей. За счет средств резервного фонда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ипального района проведены работы по созданию противопожарных полос протяженностью вокруг населенных пунктов 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и д. Михайловка в сумме 53 300,00 рублей. В 2024 году по данному разделу 03 10 были осуществлены расходы на сумму 85661,44 рублей.</w:t>
                  </w:r>
                </w:p>
                <w:p w:rsidR="009F6402" w:rsidRDefault="00EA26B4">
                  <w:pPr>
                    <w:spacing w:before="30" w:after="3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ра</w:t>
                  </w:r>
                  <w:r>
                    <w:rPr>
                      <w:color w:val="000000"/>
                      <w:sz w:val="28"/>
                      <w:szCs w:val="28"/>
                    </w:rPr>
                    <w:t>зделу 0409 «Дорожное хозяйство (дорожные фонды)» расходы в 2025 году составили 219211,24 рублей, что на 21284,04 рублей меньше плановых значений и на 339625,55 рублей меньше чем в 2024 году. Расходы направлены на обслуживание дорог поселения (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грейдирование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чистка от снега) в сумме 219211,24 рублей, в том числе: приобретение электрических материалов в сумме 8760,00 рублей;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грейдирование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и чистка дорог от снега в сумме 134990,00 рублей (договоры были заключены с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самозанятым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Ивановым Виктором, СППСК "ФЕРМЕРСК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ИЙ СОЮЗ", а также с БУ «Горьковское ДРСУ»); уличное освещение в сумме 54177,20 рублей. Расходы в части принятых полномочий по решению вопроса местного значения - дорога 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- д. Михайловка не производились, так полномочия по обслуживанию указанной д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ороги в 2025 году переданы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района.</w:t>
                  </w:r>
                </w:p>
                <w:p w:rsidR="009F6402" w:rsidRDefault="00EA26B4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разделу 0503 «Благоустройство» расходы в 2025 году составили 73886,00 рублей, что меньше чем в 2024 году на 12285,80 рублей. Расходы направлены на работы по благоустройству: п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риобретение венков ритуальных на сумму 13400,00 рублей,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акарицидная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обработка кладбищ ну сумму 16320,00 рублей, приобретение стройматериалов на сумму 8366,00 рублей; приобретение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баннеров, хоз. материалов, электроматериалов на сумму 7800,00 рублей; чистка </w:t>
                  </w:r>
                  <w:r>
                    <w:rPr>
                      <w:color w:val="000000"/>
                      <w:sz w:val="28"/>
                      <w:szCs w:val="28"/>
                    </w:rPr>
                    <w:t>от снега площадок накопления ТКО – 28000,00 рублей. По разделу 1001 «Пенсионное обеспечение» расходы в 2025 году составили 26186,19 рублей, что на 714323,70 рублей меньше чем в 2024 году. Расходы направлены на доплату к пенсиям муниципальных служащих (1 че</w:t>
                  </w:r>
                  <w:r>
                    <w:rPr>
                      <w:color w:val="000000"/>
                      <w:sz w:val="28"/>
                      <w:szCs w:val="28"/>
                    </w:rPr>
                    <w:t>ловек).</w:t>
                  </w:r>
                </w:p>
              </w:tc>
            </w:tr>
          </w:tbl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9F640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"Анализ показателей бухгалтерской отчетности субъекта бюджетной отчетности"</w:t>
            </w:r>
          </w:p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9F64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9F6402" w:rsidRDefault="00EA26B4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 1 января 2026 года балансовая стоимость объектов основных средств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составила 246214,80 рублей. В том числе </w:t>
                  </w:r>
                  <w:r>
                    <w:rPr>
                      <w:color w:val="000000"/>
                      <w:sz w:val="28"/>
                      <w:szCs w:val="28"/>
                    </w:rPr>
                    <w:t>стоимость: - нежилых помещений 10 300,00 рублей; - машин и оборудования 34 084,00 рублей; - производственного и хозяйственного инвентаря 48 914,80 рублей; - прочих основных средств 152 916,00 рублей. Земля на счете 103 составила 482 472,38 рублей. На 1 янв</w:t>
                  </w:r>
                  <w:r>
                    <w:rPr>
                      <w:color w:val="000000"/>
                      <w:sz w:val="28"/>
                      <w:szCs w:val="28"/>
                    </w:rPr>
                    <w:t>аря 2026 года остаточная стоимость движимого имущества в составе имущества казны составила 399 175,20 рублей. Стоимость земельных участков, составляющих имущество казны, составляет 8 957 998,18 рублей.</w:t>
                  </w:r>
                </w:p>
              </w:tc>
            </w:tr>
          </w:tbl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F6402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5 "Прочие вопросы деятельности субъекта бюджетной отчетности"</w:t>
            </w:r>
          </w:p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9F64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9F6402" w:rsidRDefault="00EA26B4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 15 декабря 2025 г. по 19 декабря 2025 г. в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Карбызинского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СП была проведена инвентаризация основных средств и материалов. В ходе инвентаризации расхождений не выявлено. Р</w:t>
                  </w:r>
                  <w:r>
                    <w:rPr>
                      <w:color w:val="000000"/>
                      <w:sz w:val="28"/>
                      <w:szCs w:val="28"/>
                    </w:rPr>
                    <w:t>езерв на оплату отпусков на 2026 год сформирован в сумме 334 094,00 рублей, в том числе: 0102 0720129980 121 2110199 - 87 600,00 рублей; 0102 0720129980 129 2130199 – 26 456,00 рублей; 0104 0720129980 121 2110199 - 169 000,00 рублей; 0104 0720129980 129 21</w:t>
                  </w:r>
                  <w:r>
                    <w:rPr>
                      <w:color w:val="000000"/>
                      <w:sz w:val="28"/>
                      <w:szCs w:val="28"/>
                    </w:rPr>
                    <w:t>30199 – 51 038,00 рублей.</w:t>
                  </w:r>
                </w:p>
              </w:tc>
            </w:tr>
          </w:tbl>
          <w:p w:rsidR="009F6402" w:rsidRDefault="00EA26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F6402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9F640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9F640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ИСПОЛНЯЮЩИЙ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ОБЯЗАННОСТИ ГЛАВЫ АДМИНИСТРАЦИИ КАРБЫЗИНСКОГО СЕЛЬСКОГО ПОСЕЛЕНИЯ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9F640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Гапонова Татьяна Валерьевна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F64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EA26B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F640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9F6402">
                  <w:pPr>
                    <w:spacing w:line="1" w:lineRule="auto"/>
                  </w:pPr>
                </w:p>
              </w:tc>
            </w:tr>
            <w:tr w:rsidR="009F64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9F640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r>
                          <w:rPr>
                            <w:color w:val="000000"/>
                          </w:rPr>
                          <w:t>Сертификат: 00BBA22697EC742E80E1AD55D6F8E27BF2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Владелец: АДМИНИСТРАЦИЯ КАРБЫЗИНСКОГО СЕЛЬСКОГО ПОСЕЛЕНИЯ МУРОМЦЕВСКОГО МУНИЦИПАЛЬНОГО РАЙОНА ОМСКОЙ ОБЛАСТИ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Действителен с 20.11.2025 по 13.02.2027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Дата подписания: 10.02.2026</w:t>
                        </w:r>
                      </w:p>
                    </w:tc>
                  </w:tr>
                </w:tbl>
                <w:p w:rsidR="009F6402" w:rsidRDefault="009F6402">
                  <w:pPr>
                    <w:spacing w:line="1" w:lineRule="auto"/>
                  </w:pPr>
                </w:p>
              </w:tc>
            </w:tr>
            <w:tr w:rsidR="009F640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9F640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ведущий специалист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9F640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Щекатурова Надежда Александровна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F64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EA26B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F640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9F6402">
                  <w:pPr>
                    <w:spacing w:line="1" w:lineRule="auto"/>
                  </w:pPr>
                </w:p>
              </w:tc>
            </w:tr>
            <w:tr w:rsidR="009F64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9F640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r>
                          <w:rPr>
                            <w:color w:val="000000"/>
                          </w:rPr>
                          <w:t>Сертификат: 00A2B727466293CDCAA2626ED6C83ED8E7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Владелец: Щекатурова Надежда Александровна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Действителен с 29.04.2025 по 23.07.2026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Дата подписания: 10.02.2026</w:t>
                        </w:r>
                      </w:p>
                    </w:tc>
                  </w:tr>
                </w:tbl>
                <w:p w:rsidR="009F6402" w:rsidRDefault="009F6402">
                  <w:pPr>
                    <w:spacing w:line="1" w:lineRule="auto"/>
                  </w:pPr>
                </w:p>
              </w:tc>
            </w:tr>
            <w:tr w:rsidR="009F640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9F640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r>
                    <w:rPr>
                      <w:color w:val="000000"/>
                      <w:sz w:val="28"/>
                      <w:szCs w:val="28"/>
                    </w:rPr>
                    <w:t>ведущий специалист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9F640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Щекатурова Надежда Александровна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F64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EA26B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F640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9F6402">
                  <w:pPr>
                    <w:spacing w:line="1" w:lineRule="auto"/>
                  </w:pPr>
                </w:p>
              </w:tc>
            </w:tr>
            <w:tr w:rsidR="009F64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9F640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r>
                          <w:rPr>
                            <w:color w:val="000000"/>
                          </w:rPr>
                          <w:t>Сертификат: 00A2B727466293CDCAA2626ED6C83ED8E7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Владелец: Щекатурова Надежда Александровна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Действителен с 29.04.2025 по 23.07.2026</w:t>
                        </w:r>
                      </w:p>
                      <w:p w:rsidR="009F6402" w:rsidRDefault="00EA26B4">
                        <w:r>
                          <w:rPr>
                            <w:color w:val="000000"/>
                          </w:rPr>
                          <w:t>Дата подписания: 10.02.2026</w:t>
                        </w:r>
                      </w:p>
                    </w:tc>
                  </w:tr>
                </w:tbl>
                <w:p w:rsidR="009F6402" w:rsidRDefault="009F6402">
                  <w:pPr>
                    <w:spacing w:line="1" w:lineRule="auto"/>
                  </w:pPr>
                </w:p>
              </w:tc>
            </w:tr>
            <w:tr w:rsidR="009F640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9F6402">
                  <w:pPr>
                    <w:spacing w:line="1" w:lineRule="auto"/>
                  </w:pP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9F6402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r>
                    <w:rPr>
                      <w:color w:val="000000"/>
                      <w:sz w:val="28"/>
                      <w:szCs w:val="28"/>
                    </w:rPr>
                    <w:t>30 января 2026 г.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sectPr w:rsidR="009F6402">
          <w:headerReference w:type="default" r:id="rId7"/>
          <w:footerReference w:type="default" r:id="rId8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4" w:name="__bookmark_5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62"/>
      </w:tblGrid>
      <w:tr w:rsidR="009F64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1 п. 1 «Утвердить основные характеристики бюджета </w:t>
            </w:r>
            <w:proofErr w:type="spellStart"/>
            <w:r>
              <w:rPr>
                <w:color w:val="000000"/>
                <w:sz w:val="28"/>
                <w:szCs w:val="28"/>
              </w:rPr>
              <w:t>Карбызинского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Омской области (далее – местный бюджет) на 2025 год: 1) общий объем доходов местного бюджета в сумме 1807400,06 рублей; 2) общий </w:t>
            </w:r>
            <w:r>
              <w:rPr>
                <w:color w:val="000000"/>
                <w:sz w:val="28"/>
                <w:szCs w:val="28"/>
              </w:rPr>
              <w:t>объем расходов местного бюджета в сумме 1807400,06 рублей; 3) дефицит местного бюджета, равный нулю».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доходов бюджета составил 3112936,87 рублей. Общий объем расходов бюджета составил 3136067,79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налоговых и неналоговых до</w:t>
            </w:r>
            <w:r>
              <w:rPr>
                <w:color w:val="000000"/>
                <w:sz w:val="28"/>
                <w:szCs w:val="28"/>
              </w:rPr>
              <w:t>ходов на 367981,12 рублей, увеличение безвозмездных поступлений на 1573517,94 рублей.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3 п. 2 «Утвердить объем бюджетных ассигнований дорожного фонда </w:t>
            </w:r>
            <w:proofErr w:type="spellStart"/>
            <w:r>
              <w:rPr>
                <w:color w:val="000000"/>
                <w:sz w:val="28"/>
                <w:szCs w:val="28"/>
              </w:rPr>
              <w:t>Карбызинского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Омской области на 2025 год 455500,00 рублей, на 2026 год 440800,00 рублей и на 2027 год в сумме 563200,00 рублей».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Утвержденный объем бюджетных ассигнований дорожного фонда составил 449615,81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доходов от уплаты акцизов в 2024 году на 5884,19 рублей.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3 п. 4 «Создать в местном бюджете резервный фонд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Карбызинского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Омской области на 2025 </w:t>
            </w:r>
            <w:r>
              <w:rPr>
                <w:color w:val="000000"/>
                <w:sz w:val="28"/>
                <w:szCs w:val="28"/>
              </w:rPr>
              <w:lastRenderedPageBreak/>
              <w:t>год в размере 300,00 рублей, на 2026 год в размере 300,00 рублей и на 2027 год в сумме 300,00</w:t>
            </w:r>
            <w:r>
              <w:rPr>
                <w:color w:val="000000"/>
                <w:sz w:val="28"/>
                <w:szCs w:val="28"/>
              </w:rPr>
              <w:t xml:space="preserve"> рублей».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Карбызинского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в 2025 году составил 0,00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Отсутствие необходимости в средствах резервного фонда в 2025 году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Статья 5 «Утвердить объем межбюджетных трансфертов, получаемых из других бюджетов бюджетной системы Российской Федерации, в 2025 году в сумме 846379,06 рублей, в 2026 году в сумме 739656,52 рублей и в 2027 году в сумме 741057,20 рублей».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</w:t>
            </w:r>
            <w:r>
              <w:rPr>
                <w:color w:val="000000"/>
                <w:sz w:val="28"/>
                <w:szCs w:val="28"/>
              </w:rPr>
              <w:t>нсферты в 2025 году предоставлены в сумме 2419896,99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безвозмездных поступлений на 1573517,93 рублей.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sectPr w:rsidR="009F6402">
          <w:headerReference w:type="default" r:id="rId9"/>
          <w:footerReference w:type="default" r:id="rId10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5" w:name="__bookmark_6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9F640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10100000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Принимаются к учету по первоначальной стоимости. Изменения первоначальной стоимости производится лишь в случаях переоценки, достройки. Единицей учета является инвентарный объект.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10400000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 на основные средства начисляется ежемесячно амортизация в размере 1/12 суммы. Срок полезного использования определяется в соответствии с классификацией основных средств, утвержденной постановлением Правительства РФ от 01.01.2002г №1. Моменто</w:t>
            </w:r>
            <w:r>
              <w:rPr>
                <w:color w:val="000000"/>
                <w:sz w:val="28"/>
                <w:szCs w:val="28"/>
              </w:rPr>
              <w:t>м отражения операций в учете является день подписания акта приема-передачи.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10500000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 (ГСМ, строительные материалы, прочие), готовая продукция, полученная в рамках производственной деятельности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10600000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затраты, которые формируют первоначальную стоимость основных, нематериальных и непроизводственных активов.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учреждения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20100000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на лицевых счетах в органе казначейства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доходам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20500000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Используются для отражения доходов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авансам выданным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20600000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суммы выданных авансов. По окончании расчетов авансы списываются на счета расчетов с поставщиками и подрядчиками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20800000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Учитываются денежные </w:t>
            </w:r>
            <w:proofErr w:type="gramStart"/>
            <w:r>
              <w:rPr>
                <w:color w:val="000000"/>
                <w:sz w:val="28"/>
                <w:szCs w:val="28"/>
              </w:rPr>
              <w:t>средства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выданные в подотчет на определенные цели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30200000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Отражаются увеличение и уменьшение задолженности перед поставщиками. Кроме того, здесь учитывают и </w:t>
            </w:r>
            <w:r>
              <w:rPr>
                <w:color w:val="000000"/>
                <w:sz w:val="28"/>
                <w:szCs w:val="28"/>
              </w:rPr>
              <w:lastRenderedPageBreak/>
              <w:t>расчеты с персоналом по оплате труда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Расчеты по платежам в бюджеты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30300000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 расчеты с бюджетом по налогам, сборам, страховым взносам, штрафам и пеням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расчеты с кредиторами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30400000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Учитывают средства, которые получены во временное распоряжение; удержания из заработной платы; расчеты с депонентами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Финансовый результат хозяйствующего субъекта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F64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6402" w:rsidRDefault="00EA26B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40100000</w:t>
                  </w: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Учитываются доходы и расходы администрации в разрезе операций. Причем как по бюджетной, так и по внебюджетной деятельности. На счете 040130000 "Финансовый результат прошлых отчетных периодов" списыва</w:t>
            </w:r>
            <w:r>
              <w:rPr>
                <w:color w:val="000000"/>
                <w:sz w:val="28"/>
                <w:szCs w:val="28"/>
              </w:rPr>
              <w:t>ют остатки по счетам доходов и расходов. Списание оформляется заключительными записями декабря.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sectPr w:rsidR="009F6402">
          <w:headerReference w:type="default" r:id="rId11"/>
          <w:footerReference w:type="default" r:id="rId12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6" w:name="__bookmark_7"/>
      <w:bookmarkEnd w:id="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9F64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ОКОПФ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изменений не имеется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</w:t>
            </w:r>
            <w:r>
              <w:rPr>
                <w:color w:val="000000"/>
                <w:sz w:val="28"/>
                <w:szCs w:val="28"/>
              </w:rPr>
              <w:t>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 государственных (муниципальных) унитарных и </w:t>
            </w:r>
            <w:r>
              <w:rPr>
                <w:color w:val="000000"/>
                <w:sz w:val="28"/>
                <w:szCs w:val="28"/>
              </w:rPr>
              <w:lastRenderedPageBreak/>
              <w:t>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правопреемственности по всем обязательствам реорганизуемого (преобразуемого) субъекта отчетности 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Иная информация, характеризующая показатели деятельно</w:t>
            </w:r>
            <w:r>
              <w:rPr>
                <w:color w:val="000000"/>
                <w:sz w:val="28"/>
                <w:szCs w:val="28"/>
              </w:rPr>
              <w:t>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* Общероссийский классификатор организационно-правовых форм </w:t>
            </w:r>
            <w:proofErr w:type="gramStart"/>
            <w:r>
              <w:rPr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028-2012</w:t>
            </w:r>
          </w:p>
        </w:tc>
      </w:tr>
    </w:tbl>
    <w:p w:rsidR="009F6402" w:rsidRDefault="009F6402">
      <w:pPr>
        <w:sectPr w:rsidR="009F6402">
          <w:headerReference w:type="default" r:id="rId13"/>
          <w:footerReference w:type="default" r:id="rId14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7" w:name="__bookmark_8"/>
      <w:bookmarkEnd w:id="7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9F64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</w:t>
            </w:r>
            <w:r>
              <w:rPr>
                <w:i/>
                <w:iCs/>
                <w:color w:val="000000"/>
                <w:sz w:val="28"/>
                <w:szCs w:val="28"/>
              </w:rPr>
              <w:t>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246,2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техническое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sectPr w:rsidR="009F6402">
          <w:headerReference w:type="default" r:id="rId15"/>
          <w:footerReference w:type="default" r:id="rId16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8" w:name="__bookmark_9"/>
      <w:bookmarkEnd w:id="8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559"/>
        <w:gridCol w:w="1530"/>
        <w:gridCol w:w="559"/>
        <w:gridCol w:w="559"/>
        <w:gridCol w:w="559"/>
        <w:gridCol w:w="559"/>
        <w:gridCol w:w="559"/>
        <w:gridCol w:w="559"/>
        <w:gridCol w:w="2100"/>
      </w:tblGrid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№14</w:t>
            </w:r>
          </w:p>
        </w:tc>
      </w:tr>
      <w:tr w:rsidR="009F6402">
        <w:trPr>
          <w:trHeight w:val="322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показателей отчетности субъекта бюджетной отчетности</w:t>
            </w:r>
          </w:p>
        </w:tc>
      </w:tr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Несколько причин возникновения просроченной дебиторской (кредиторской) задолженности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имеется просроченная дебиторская задолженность ООО "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Сиберия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" в связи с отсутствием оплаты арендных платежей в течение 2025 года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Раздел 1 графа 9 - "06 - иные </w:t>
            </w:r>
            <w:r>
              <w:rPr>
                <w:color w:val="000000"/>
                <w:sz w:val="28"/>
                <w:szCs w:val="28"/>
              </w:rPr>
              <w:t>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4 графа 7 - "03.5 -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Раздел 1 графа 7 - "99 - иные </w:t>
            </w:r>
            <w:r>
              <w:rPr>
                <w:color w:val="000000"/>
                <w:sz w:val="28"/>
                <w:szCs w:val="28"/>
              </w:rPr>
              <w:lastRenderedPageBreak/>
              <w:t>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имеется кредиторская задолженность в сумме 28787,69 рублей в связи с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несвоевременной оплатой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имеется кредиторская задолженность в сумме 28787,69 рублей в связи с несвоевременной оплатой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rPr>
          <w:trHeight w:val="1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sectPr w:rsidR="009F6402">
          <w:headerReference w:type="default" r:id="rId17"/>
          <w:footerReference w:type="default" r:id="rId18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9" w:name="__bookmark_10"/>
      <w:bookmarkEnd w:id="9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9F6402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9F64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10" w:name="_Toc0503169"/>
      <w:bookmarkEnd w:id="10"/>
      <w:tr w:rsidR="009F64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9F6402">
            <w:pPr>
              <w:rPr>
                <w:vanish/>
              </w:rPr>
            </w:pPr>
            <w:r>
              <w:fldChar w:fldCharType="begin"/>
            </w:r>
            <w:r w:rsidR="00EA26B4">
              <w:instrText xml:space="preserve"> TC "0503169" \f C \l "1"</w:instrText>
            </w:r>
            <w:r>
              <w:fldChar w:fldCharType="end"/>
            </w:r>
          </w:p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9F6402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11" w:name="__bookmark_11"/>
                <w:bookmarkStart w:id="12" w:name="_TocПричины_увеличения_просроченной_деби"/>
                <w:bookmarkEnd w:id="11"/>
                <w:bookmarkEnd w:id="12"/>
                <w:p w:rsidR="009F6402" w:rsidRDefault="009F6402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EA26B4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9F6402" w:rsidRDefault="00EA26B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</w:t>
                  </w:r>
                  <w:r>
                    <w:rPr>
                      <w:color w:val="000000"/>
                      <w:sz w:val="28"/>
                      <w:szCs w:val="28"/>
                    </w:rPr>
                    <w:t>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9F640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9F640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F6402" w:rsidRDefault="00EA26B4">
                              <w:pPr>
                                <w:jc w:val="center"/>
                              </w:pPr>
                              <w:bookmarkStart w:id="13" w:name="__bookmark_12"/>
                              <w:bookmarkEnd w:id="13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9F6402" w:rsidRDefault="009F640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11105025100000120 1 20523007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399 614,53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сумма: 399614,53; пояснение: отсутствие оплаты арендных платежей в течение года</w:t>
                        </w:r>
                      </w:p>
                    </w:tc>
                  </w:tr>
                  <w:tr w:rsidR="009F640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399 614,53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9F6402" w:rsidRDefault="009F6402">
                  <w:pPr>
                    <w:spacing w:line="1" w:lineRule="auto"/>
                  </w:pPr>
                </w:p>
              </w:tc>
            </w:tr>
            <w:bookmarkStart w:id="14" w:name="_TocПричины_увеличения_просроченной_кред"/>
            <w:bookmarkEnd w:id="14"/>
            <w:tr w:rsidR="009F6402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6402" w:rsidRDefault="009F6402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EA26B4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9F6402" w:rsidRDefault="00EA26B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</w:t>
                  </w:r>
                  <w:r>
                    <w:rPr>
                      <w:color w:val="000000"/>
                      <w:sz w:val="28"/>
                      <w:szCs w:val="28"/>
                    </w:rPr>
                    <w:t>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9F640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9F640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F6402" w:rsidRDefault="00EA26B4">
                              <w:pPr>
                                <w:jc w:val="center"/>
                              </w:pPr>
                              <w:bookmarkStart w:id="15" w:name="__bookmark_13"/>
                              <w:bookmarkEnd w:id="15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9F6402" w:rsidRDefault="009F640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F640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F6402" w:rsidRDefault="00EA26B4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9F6402" w:rsidRDefault="009F6402">
                  <w:pPr>
                    <w:spacing w:line="1" w:lineRule="auto"/>
                  </w:pPr>
                </w:p>
              </w:tc>
            </w:tr>
          </w:tbl>
          <w:p w:rsidR="009F6402" w:rsidRDefault="009F6402">
            <w:pPr>
              <w:spacing w:line="1" w:lineRule="auto"/>
            </w:pPr>
          </w:p>
        </w:tc>
      </w:tr>
      <w:tr w:rsidR="009F6402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9F6402" w:rsidRDefault="009F6402">
      <w:pPr>
        <w:sectPr w:rsidR="009F6402">
          <w:headerReference w:type="default" r:id="rId19"/>
          <w:footerReference w:type="default" r:id="rId20"/>
          <w:pgSz w:w="11905" w:h="16837"/>
          <w:pgMar w:top="1133" w:right="566" w:bottom="1133" w:left="1133" w:header="1133" w:footer="1133" w:gutter="0"/>
          <w:cols w:space="720"/>
        </w:sectPr>
      </w:pPr>
    </w:p>
    <w:p w:rsidR="009F6402" w:rsidRDefault="009F6402">
      <w:pPr>
        <w:rPr>
          <w:vanish/>
        </w:rPr>
      </w:pPr>
      <w:bookmarkStart w:id="16" w:name="__bookmark_14"/>
      <w:bookmarkEnd w:id="1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9F640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9F64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9F640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0503128S; 0503172; 0503296; 0503174; 0503171; 0503173_1; 0503173_3; 0503190; 0503178_3; 0503184; 0503167; 0503127S; 0503178_1; 0503128-НП</w:t>
            </w: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9F6402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  <w:jc w:val="center"/>
            </w:pPr>
          </w:p>
        </w:tc>
      </w:tr>
      <w:tr w:rsidR="009F64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EA26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F6402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6402" w:rsidRDefault="009F6402">
            <w:pPr>
              <w:spacing w:line="1" w:lineRule="auto"/>
            </w:pPr>
          </w:p>
        </w:tc>
      </w:tr>
    </w:tbl>
    <w:p w:rsidR="00EA26B4" w:rsidRDefault="00EA26B4"/>
    <w:sectPr w:rsidR="00EA26B4" w:rsidSect="009F6402">
      <w:headerReference w:type="default" r:id="rId21"/>
      <w:footerReference w:type="default" r:id="rId22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B4" w:rsidRDefault="00EA26B4" w:rsidP="009F6402">
      <w:r>
        <w:separator/>
      </w:r>
    </w:p>
  </w:endnote>
  <w:endnote w:type="continuationSeparator" w:id="0">
    <w:p w:rsidR="00EA26B4" w:rsidRDefault="00EA26B4" w:rsidP="009F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B4" w:rsidRDefault="00EA26B4" w:rsidP="009F6402">
      <w:r>
        <w:separator/>
      </w:r>
    </w:p>
  </w:footnote>
  <w:footnote w:type="continuationSeparator" w:id="0">
    <w:p w:rsidR="00EA26B4" w:rsidRDefault="00EA26B4" w:rsidP="009F6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F6402">
      <w:trPr>
        <w:trHeight w:val="56"/>
      </w:trPr>
      <w:tc>
        <w:tcPr>
          <w:tcW w:w="10421" w:type="dxa"/>
        </w:tcPr>
        <w:p w:rsidR="009F6402" w:rsidRDefault="009F640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02"/>
    <w:rsid w:val="009F6402"/>
    <w:rsid w:val="00D54EDF"/>
    <w:rsid w:val="00EA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64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64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3929</Words>
  <Characters>22401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2026-03-10T03:48:00Z</dcterms:created>
  <dcterms:modified xsi:type="dcterms:W3CDTF">2026-03-10T03:48:00Z</dcterms:modified>
</cp:coreProperties>
</file>