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559"/>
        <w:gridCol w:w="1559"/>
        <w:gridCol w:w="3118"/>
        <w:gridCol w:w="2267"/>
        <w:gridCol w:w="1703"/>
      </w:tblGrid>
      <w:tr w:rsidR="007842D6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Start w:id="1" w:name="_GoBack"/>
            <w:bookmarkEnd w:id="0"/>
            <w:bookmarkEnd w:id="1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7842D6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7842D6">
        <w:tc>
          <w:tcPr>
            <w:tcW w:w="850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7842D6"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7842D6"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</w:pPr>
          </w:p>
        </w:tc>
        <w:tc>
          <w:tcPr>
            <w:tcW w:w="467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7"/>
            </w:tblGrid>
            <w:tr w:rsidR="007842D6">
              <w:trPr>
                <w:jc w:val="center"/>
              </w:trPr>
              <w:tc>
                <w:tcPr>
                  <w:tcW w:w="4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2026 г.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01.01.2026</w:t>
            </w:r>
          </w:p>
        </w:tc>
      </w:tr>
      <w:tr w:rsidR="007842D6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</w:pPr>
          </w:p>
        </w:tc>
        <w:tc>
          <w:tcPr>
            <w:tcW w:w="1703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7842D6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  <w:jc w:val="center"/>
                  </w:pP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</w:tr>
      <w:tr w:rsidR="007842D6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</w:pPr>
          </w:p>
        </w:tc>
        <w:tc>
          <w:tcPr>
            <w:tcW w:w="1703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</w:pPr>
          </w:p>
        </w:tc>
      </w:tr>
      <w:tr w:rsidR="007842D6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</w:pP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rPr>
          <w:trHeight w:val="680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rPr>
          <w:trHeight w:val="226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Бергамакского сельского поселения Муромцевского муниципального района Омской области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7842D6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52634404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</w:tr>
      <w:tr w:rsidR="007842D6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842D6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r>
                    <w:rPr>
                      <w:color w:val="000000"/>
                      <w:sz w:val="28"/>
                      <w:szCs w:val="28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7842D6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842D6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7842D6" w:rsidRDefault="007842D6">
      <w:pPr>
        <w:rPr>
          <w:vanish/>
        </w:rPr>
      </w:pPr>
      <w:bookmarkStart w:id="2" w:name="__bookmark_3"/>
      <w:bookmarkEnd w:id="2"/>
    </w:p>
    <w:tbl>
      <w:tblPr>
        <w:tblOverlap w:val="never"/>
        <w:tblW w:w="10001" w:type="dxa"/>
        <w:tblLayout w:type="fixed"/>
        <w:tblLook w:val="01E0" w:firstRow="1" w:lastRow="1" w:firstColumn="1" w:lastColumn="1" w:noHBand="0" w:noVBand="0"/>
      </w:tblPr>
      <w:tblGrid>
        <w:gridCol w:w="1660"/>
        <w:gridCol w:w="1660"/>
        <w:gridCol w:w="1660"/>
        <w:gridCol w:w="1660"/>
        <w:gridCol w:w="1660"/>
        <w:gridCol w:w="1701"/>
      </w:tblGrid>
      <w:tr w:rsidR="007842D6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1 "Организационная структура субъекта бюджетной отчетности"</w:t>
            </w:r>
          </w:p>
          <w:p w:rsidR="007842D6" w:rsidRDefault="00BD570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7842D6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tbl>
                  <w:tblPr>
                    <w:tblOverlap w:val="never"/>
                    <w:tblW w:w="10314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314"/>
                  </w:tblGrid>
                  <w:tr w:rsidR="007842D6">
                    <w:tc>
                      <w:tcPr>
                        <w:tcW w:w="103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spacing w:before="50" w:after="5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Администрация Бергамакского сельского поселения является органом местного самоуправлением Муромцевского муниципального Омской области осуществляет свою деятельность в соответствии с Законом "О местном самоуправлении".                    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Основной  задачей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органа местного самоуправления является формирование бюджета поселения и качественное исполнение, как доходной его части, так и расходной.                                      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Финансирование деятельности Администрации Бергамакского сельского поселения о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существляется за счет:                                      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налоговых и неналоговых доходов, и межбюджетных транcфертов из бюджета Омской области и муниципального района.                    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 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Бухгалтерский учет в Администрации Бергамакского сельского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поселения ведется в соответствии с Федеральным законом от 06 декабря 2011 г. № 402-ФЗ «О бухгалтерском учете»  и приказом Министерства финансов РФ от 06.12.2010г. № 162 н «Об утверждении Плана счетов бюджетного учета и Инструкции по его применению» в ред.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от 24.12.2012  № 174 н, который устанавливает единый порядок ведения бухгалтерского учета в бюджетных учреждениях.  Приказом  Министерства финансов РФ от 01.12.2010 № 157н "Об утверждении Единого плана счетов бухгалтерского учета для государственных органо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в власти (государственных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применению."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Бухгалтерская отч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етность по состоянию на 1 января 2026 года составлена в соответствии  со следующими нормативно – правовыми документами:                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 приказом Министерства финансов РФ от 28.12.2020 № 191н «Об утверждении Инструкции о порядке составления и представлени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я годовой, квартальной и месячной отчетности об исполнении бюджетов бюджетной системы Российской Федерации» (далее – Инструкция 191н);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 приказом Министерства финансов Российской Федерации от 08.06.2021 № 75н «Об утверждении кодов (перечней кодов) бюджетно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й классификации Российской Федерации на 2022 год (на 2022 год и на плановый период 2023 и 2024 годов)» (далее – Приказ от 08.06.2021 № 75н);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 приказом Комитета финансов и контроля Администрации Муромцевского муниципального района Омской области от 10.12.2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025г. №26 "О сроках  предоставления  учреждениями Муромцевского муниципального района  годовой отчетности за 2025 год."</w:t>
                        </w:r>
                      </w:p>
                      <w:p w:rsidR="007842D6" w:rsidRDefault="00BD5705">
                        <w:pPr>
                          <w:spacing w:before="50" w:after="5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В состав годовой отчетности Администрации Бергамакского сельского поселения включены следующие формы: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Баланс ГРБС, РБС, ПБС, Г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АИФ, АИФ,  ГАДБ, АДБ(ф. 0503130);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Баланс по поступлениям и выбытиям бюджетных средств (ф. 0503140);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Баланс исполнения бюджета (ф. 0503120);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Справка по консолидируемым расчетам (ф. 0503125);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Отчет об исполнении  бюдже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Отчет о движении ден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ежных средств (ф. 0503123);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Отчет о финансовых результатах деятельности (ф. 0503121);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Справка по заключению счетов бюджетного учета отчетного финансового года (ф. 0503110);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Отчет о бюджетных обязательствах (ф. 0503128);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Отчет о кассов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ом поступлении и выбытии бюджетных средств (ф. 0503124);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Отчет об исполнении бюджета (ф. 0503117);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Пояснительная записка (ф. 0503160) составлена в разрезе следующих разделов: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Раздел 1 «Организационная структура субъекта бюджетной отчетности», включающий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: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об основных направлениях деятельности (Таблица № 1);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Раздел 2 «Результаты деятельности субъекта бюджетной отчетности», включающий: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 мерах по повышению эффективности расходования бюджетных средств (Таблица № 2);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 результатах деятельности (ф. 0503162);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Раздел 3 «Анализ отчета об исполнении бюджета субъектом бюджетной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отчетности», включающий: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об исполнении бюджета (ф. 0503164);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об исполнении мероприятий в рамках целевых программ (ф. 0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503166);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Раздел 4 «Анализ показателей бухгалтерской отчетности субъекта бюджетной отчетности», включающий: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 движении нефинансовых активов (ф. 0503168);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по дебиторской и кредиторской задолженности (ф. 0503169);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Сведения об изменении ос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татков валюты баланса (ф. 0503173 1);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 финансовых вложениях получателя бюджетных средств, администратора источников финансирования дефицита бюджета (ф. 0503171) имеет нулевое значение и не предоставляется;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"Отчет о расходах и численности работни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ков органов местного самоуправления" (ф.0503075) "Отчет об использовании межбюджетных трансфертов (федеральных средств) из областного бюджета муниципальными образованиями и территориальным государственным внебюджетным фондом" (ф.0503324)"отчет по поступлен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иям и выбытиям" (ф. 0503151 « Сведения о государственном (муниципальном) долге» (ф. 0503172) имеет нулевое значение и не предоставляется;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об изменении остатков валюты баланса имеет нулевое значение и не заполняется(ф. 0503173 1);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 недо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стачах и хищениях денежных средств и материальных ценностей (ф. 0503176) имеет нулевое значение и не предоставляется;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об остатках денежных средств на счетах получателя бюджетных средств (ф. 0503178) имеет нулевое значение и не предоставляется;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Р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аздел 5 «Прочие вопросы деятельности субъекта бюджетной отчетности», включающий: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об особенностях ведения бюджетного учета (Таблица № 4);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 результатах мероприятий внутреннего контроля (Таблица № 5);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 проведении инвентаризаций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(Таблица № 6);</w:t>
                        </w:r>
                      </w:p>
                      <w:p w:rsidR="007842D6" w:rsidRDefault="00BD5705">
                        <w:pPr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Сведения о результатах внешних контрольных мероприятий (Таблица № 7);</w:t>
                        </w:r>
                      </w:p>
                    </w:tc>
                  </w:tr>
                </w:tbl>
                <w:p w:rsidR="007842D6" w:rsidRDefault="007842D6">
                  <w:pPr>
                    <w:spacing w:line="1" w:lineRule="auto"/>
                  </w:pPr>
                </w:p>
              </w:tc>
            </w:tr>
          </w:tbl>
          <w:p w:rsidR="007842D6" w:rsidRDefault="00BD570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7842D6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2 "Результаты деятельности субъекта бюджетной отчетности"</w:t>
            </w:r>
          </w:p>
          <w:p w:rsidR="007842D6" w:rsidRDefault="00BD570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7842D6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tbl>
                  <w:tblPr>
                    <w:tblOverlap w:val="never"/>
                    <w:tblW w:w="10001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01"/>
                  </w:tblGrid>
                  <w:tr w:rsidR="007842D6">
                    <w:tc>
                      <w:tcPr>
                        <w:tcW w:w="100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001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0001"/>
                        </w:tblGrid>
                        <w:tr w:rsidR="007842D6">
                          <w:tc>
                            <w:tcPr>
                              <w:tcW w:w="1000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842D6" w:rsidRDefault="00BD5705">
                              <w:pPr>
                                <w:spacing w:before="190" w:after="190"/>
                                <w:jc w:val="both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Раздел 2 «Результаты деятельности субъекта бюджетной отчетности»</w:t>
                              </w:r>
                            </w:p>
                            <w:p w:rsidR="007842D6" w:rsidRDefault="00BD5705">
                              <w:pPr>
                                <w:spacing w:before="190" w:after="19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Сведения о мерах по повышению эффективности расходования бюджетных средств представлены в Таблице № 2 в составе отчетности.</w:t>
                              </w:r>
                            </w:p>
                            <w:p w:rsidR="007842D6" w:rsidRDefault="00BD5705">
                              <w:pPr>
                                <w:spacing w:before="190" w:after="19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Администрация осуществляет контроль за экономным и целевым использованием бюджетных средств. Так,например, проверяются показания с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пидометра служебного автомобиля, ведется работа по детализации телефонных разговоров в личных целях, установлены таймеры времени на уличное освещение и.т.д.</w:t>
                              </w:r>
                            </w:p>
                            <w:p w:rsidR="007842D6" w:rsidRDefault="00BD5705">
                              <w:pPr>
                                <w:spacing w:before="190" w:after="19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В отчетном периоде в соответствии с нормами Закона № 44-ФЗ заключено 147 контрактов, 2 контракта-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с единственным поставщиком (подрядчиком,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исполнителем)свыше 100 тыс. руб. и 145 контрактов (закупки до 100 тыс.руб.).</w:t>
                              </w:r>
                            </w:p>
                            <w:p w:rsidR="007842D6" w:rsidRDefault="00BD5705">
                              <w:pPr>
                                <w:spacing w:before="190" w:after="19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Фактором, повлиявшим на увеличение в отчетном периоде объема закупок, служит объективная потребность Учреждения в товарах, работах, усл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угах, требуемых для качественного выполнения своих функций.</w:t>
                              </w:r>
                            </w:p>
                            <w:p w:rsidR="007842D6" w:rsidRDefault="00BD5705">
                              <w:pPr>
                                <w:spacing w:before="190" w:after="19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Штатная численность сотрудников Администрации Бергамакского СП составляет 6 человек, из них:                                    </w:t>
                              </w:r>
                            </w:p>
                            <w:p w:rsidR="007842D6" w:rsidRDefault="00BD5705">
                              <w:pPr>
                                <w:spacing w:before="190" w:after="19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Глава сельского поселения, один главный специалист.            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  </w:t>
                              </w:r>
                            </w:p>
                            <w:p w:rsidR="007842D6" w:rsidRDefault="00BD5705">
                              <w:pPr>
                                <w:spacing w:before="190" w:after="19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Четыре должности немуниципальных служащих, военно-учетный работник.                              </w:t>
                              </w:r>
                            </w:p>
                            <w:p w:rsidR="007842D6" w:rsidRDefault="00BD5705">
                              <w:pPr>
                                <w:spacing w:before="190" w:after="19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Техническое состояние основных средств находится в удовлетворительном состоянии. Непригодные к дальнейшей эксплуатации объекты основных с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редств своевременно списываются с баланса Учреждения в порядке, установленном законодательством и учетной политикой Администрации поселения.</w:t>
                              </w:r>
                            </w:p>
                            <w:p w:rsidR="007842D6" w:rsidRDefault="00BD5705">
                              <w:pPr>
                                <w:spacing w:before="190" w:after="19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Сохранность основных средств обеспечивается посредством их закрепления за материально-ответственными лицами и про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ведением инвентаризации имущества.</w:t>
                              </w:r>
                            </w:p>
                          </w:tc>
                        </w:tr>
                      </w:tbl>
                      <w:p w:rsidR="007842D6" w:rsidRDefault="007842D6">
                        <w:pPr>
                          <w:spacing w:line="1" w:lineRule="auto"/>
                        </w:pPr>
                      </w:p>
                    </w:tc>
                  </w:tr>
                  <w:tr w:rsidR="007842D6">
                    <w:tc>
                      <w:tcPr>
                        <w:tcW w:w="100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7842D6">
                        <w:pPr>
                          <w:spacing w:line="1" w:lineRule="auto"/>
                          <w:jc w:val="both"/>
                        </w:pPr>
                      </w:p>
                    </w:tc>
                  </w:tr>
                  <w:tr w:rsidR="007842D6">
                    <w:tc>
                      <w:tcPr>
                        <w:tcW w:w="100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7842D6">
                        <w:pPr>
                          <w:spacing w:line="1" w:lineRule="auto"/>
                          <w:jc w:val="both"/>
                        </w:pPr>
                      </w:p>
                    </w:tc>
                  </w:tr>
                </w:tbl>
                <w:p w:rsidR="007842D6" w:rsidRDefault="007842D6">
                  <w:pPr>
                    <w:spacing w:line="1" w:lineRule="auto"/>
                  </w:pPr>
                </w:p>
              </w:tc>
            </w:tr>
          </w:tbl>
          <w:p w:rsidR="007842D6" w:rsidRDefault="00BD570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7842D6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3 "Анализ отчета об исполнении бюджета субъектом бюджетной отчетности"</w:t>
            </w:r>
          </w:p>
          <w:p w:rsidR="007842D6" w:rsidRDefault="00BD570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7842D6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tbl>
                  <w:tblPr>
                    <w:tblOverlap w:val="never"/>
                    <w:tblW w:w="10314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314"/>
                  </w:tblGrid>
                  <w:tr w:rsidR="007842D6">
                    <w:tc>
                      <w:tcPr>
                        <w:tcW w:w="103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314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0314"/>
                        </w:tblGrid>
                        <w:tr w:rsidR="007842D6">
                          <w:tc>
                            <w:tcPr>
                              <w:tcW w:w="1031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842D6" w:rsidRDefault="00BD5705">
                              <w:pPr>
                                <w:spacing w:before="100" w:after="100"/>
                                <w:jc w:val="both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Раздел 3 «Анализ отчета об исполнении бюджета субъектом бюджетной отчетности»</w:t>
                              </w:r>
                            </w:p>
                            <w:p w:rsidR="007842D6" w:rsidRDefault="00BD5705">
                              <w:pPr>
                                <w:spacing w:before="100" w:after="10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Доходы Бергамакского сельского поселения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Сумма по исполнению налоговых и неналоговых доходов в 2025 году составила 3 082,00 тыс. рублей или 34,0 % к общему объему доходов, исполнение безвозмездных поступлений составило 4 684,0 или  60,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0 % от общей суммы доходов.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Налог на доходы с физических лиц составил 322,0 тыс. руб., или 4,0% от общего объема налоговых доходов.                                                  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Арендная пла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та за земли с/х назначения составила 489,0,0 тыс.руб. Доходы от сдачи в аренду имущества составили 109,0 тыс. руб.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Безвозмездные поступления от других бюджетов бюджетной системы Российской Федерации  составляют в 2025 году 4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684,0 тыс. рублей. Они включают в себя: дотации на выравнивание бюджетной обеспеченности 4 426,0 тыс. рублей, иные межбюджетные трансферты  73,0 тыс.рублей;                           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субвенции бюджетам поселений на осуществление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первичного воинского учета на территориях, где отсутствуют военные комиссариаты в сумме 184,5 тыс. рублей.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              </w:t>
                              </w:r>
                            </w:p>
                            <w:p w:rsidR="007842D6" w:rsidRDefault="00BD5705">
                              <w:pPr>
                                <w:spacing w:before="100" w:after="10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Расходы Бергамакского сельского поселения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Исполнение расходов за 2025 год составили 8 574,0 тыс.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рублей  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Общегосударственные вопросы составили 4 987,0 тыс.рублей или 58,0 % в общем объеме расходов :                    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- функционирование высшего должностного лица субъекта Российской феде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рации и муниципального образования    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в сумме 1 177,0 тыс. рублей, из которых 884,0 тыс. рублей на заработную плату и 292,0 тыс. рублей на выплаты по оплате труда;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- руководство и управление в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сфере установленных функций органов местного самоуправления :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2 753,0 тыс. рублей: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* заработная плата работников аппарата управления 2 170,0 тыс. рублей;      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* начисления на выплаты по оплате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труда составили 558,0 тыс. рублей;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*прочие работы, услуги в общей сумме 25,7 тыс. рублей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      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Расходы на реализацию государственных функций, связанных с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общегосударственным управлением составили 1 057,0 тыс. рублей, из них: услуги по теплоснабжению 479,0 тыс. рублей, приобретение гсм для служебного автомобиля - 266,0 тыс. рублей,  приобретение материалов и запасных частей к автомобилю - 135,1 тыс. рублей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Расходы в сфере  национальной обороны составили 184,5 тыс. руб.:    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- 142,2 тыс. руб. выплаты по  оплате труда, 42,3 тыс. руб. начисления  по оплате труда;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Осуществляет воинский уче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т специалист 2 категории Администрации Бергамакского поселения на 0,5 ставки,                военнообязанных  309 человек.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Предупреждение и ликвидация последствий чрезвычайных ситуаций: 22,4 тыс.руб., из них: 11,2 тыс.руб. собственные средства, 11,2 тыс.руб.- расходы, осуществляемые за счет средств резервного фонда Правительства Омской области.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            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     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Содержание автомобильных дорог составило 1 433,0 тыс. рублей, средства были направлены на услуги по грейдированию и чистке дорог от снега.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Другие вопросы в области национальной экономики составили 21,0 тыс. рублей. Опл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ата кадастровых работ дороги в с.Бергамак, тепловой трассы.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Расходы на благоустройство-  1 687,00 тыс. рублей:                                    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* расходы на оплату электроэнергии по уличному освещению- 474,0 тыс.  рублей;    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 *содержание мест захоронений - 347,0 тыс.  рублей;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*благоустройство и озеленении -866,0 тыс. рублей.</w:t>
                              </w:r>
                            </w:p>
                            <w:p w:rsidR="007842D6" w:rsidRDefault="00BD5705">
                              <w:pPr>
                                <w:spacing w:before="100" w:after="10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Социальная политика: доплата к пенсии лиц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ам, замещавшим выборные должности в органах местного самоуправления - 140,0 тыс.руб.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Физическая культура и спорт- 81,0 тыс. руб.  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      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Остаток денежных средств на едином счете б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юджета на конец года составили 1 839 842,00   рубля.                                    </w:t>
                              </w:r>
                            </w:p>
                            <w:p w:rsidR="007842D6" w:rsidRDefault="00BD5705">
                              <w:pPr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Дефицит бюджета поселения в 2025 году составил 808,0 тыс. рублей.</w:t>
                              </w:r>
                            </w:p>
                          </w:tc>
                        </w:tr>
                      </w:tbl>
                      <w:p w:rsidR="007842D6" w:rsidRDefault="007842D6">
                        <w:pPr>
                          <w:spacing w:line="1" w:lineRule="auto"/>
                        </w:pPr>
                      </w:p>
                    </w:tc>
                  </w:tr>
                </w:tbl>
                <w:p w:rsidR="007842D6" w:rsidRDefault="007842D6">
                  <w:pPr>
                    <w:spacing w:line="1" w:lineRule="auto"/>
                  </w:pPr>
                </w:p>
              </w:tc>
            </w:tr>
          </w:tbl>
          <w:p w:rsidR="007842D6" w:rsidRDefault="00BD570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7842D6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4 "Анализ показателей бухгалтерской отчетности субъекта бюджетной отчетности"</w:t>
            </w:r>
          </w:p>
          <w:p w:rsidR="007842D6" w:rsidRDefault="00BD570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7842D6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7842D6" w:rsidRDefault="00BD5705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Раздел 3 " Анализ показателей Бухгалтерской отчетности"</w:t>
                  </w:r>
                </w:p>
                <w:p w:rsidR="007842D6" w:rsidRDefault="00BD5705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Сведения о движении нефинансовых активов отражены в форме ф.0503168. По состоянию на 1 января 2026 года в бюджетном учете следующие показатели: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-основные средства, балансовой стоимостью - 3 637 219,4</w:t>
                  </w:r>
                  <w:r>
                    <w:rPr>
                      <w:color w:val="000000"/>
                      <w:sz w:val="28"/>
                      <w:szCs w:val="28"/>
                    </w:rPr>
                    <w:t>3 рублей, в том числе стоимость:   - нежилых помещений (здания и сооружения) 2 318 151,00 руб.; машины и оборудование 397 753,43 рубля.; транспортные средства 363 848,00 рублей; - производственного и хозяйственного инвентаря - 557 467,00 рублей.    На 1 ян</w:t>
                  </w:r>
                  <w:r>
                    <w:rPr>
                      <w:color w:val="000000"/>
                      <w:sz w:val="28"/>
                      <w:szCs w:val="28"/>
                    </w:rPr>
                    <w:t>варя 2026 года недвижимое имущества казны Бергамакского сельского поселения составили: основные средства в сумме 3 084 103,00 рублей, движимое имущество казны (котлы в котельных) - 3 276 099,92 рубля, непроизведенные активы в сумме 72 012 612,07 руб.;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-ам</w:t>
                  </w:r>
                  <w:r>
                    <w:rPr>
                      <w:color w:val="000000"/>
                      <w:sz w:val="28"/>
                      <w:szCs w:val="28"/>
                    </w:rPr>
                    <w:t>ортизация основных средств - 12 650,00 рублей.        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Остатки материальных запасов на 1 января 2026 года составили 97 391,00 рубль.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Информация о консолидируемых расчетах отражена в Справке (ф.0503125).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Сведения по дебиторской и кредиторской задолжен</w:t>
                  </w:r>
                  <w:r>
                    <w:rPr>
                      <w:color w:val="000000"/>
                      <w:sz w:val="28"/>
                      <w:szCs w:val="28"/>
                    </w:rPr>
                    <w:t>ности отражены в форме 0503169 в разрезе счетов на начало и конец отчетного отчетного периода. По состоянию на 01.01.2026 образовалась дебиторская задолженность 14 320 574,50   рублей (долгосрочная) и кредиторская задолженность в сумме 14 674,31 рубля.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В</w:t>
                  </w:r>
                  <w:r>
                    <w:rPr>
                      <w:color w:val="000000"/>
                      <w:sz w:val="28"/>
                      <w:szCs w:val="28"/>
                    </w:rPr>
                    <w:t>опрос о сокращении дебиторской задолженности находится под контролем, в отчетном году были письменно оповещены контрагенты в разрезе заключенных договоров аренды.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Отчет о принятых бюджетных обязательствах Учреждением в отчетном периоде представлен в форм</w:t>
                  </w:r>
                  <w:r>
                    <w:rPr>
                      <w:color w:val="000000"/>
                      <w:sz w:val="28"/>
                      <w:szCs w:val="28"/>
                    </w:rPr>
                    <w:t>е 0503128.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В отчетном периоде были сформированы резервы предстоящих расходов.Справка по заключению счетов бюджетного учета отчетного финансового года  (ф. 0503110)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(Начисленный резерв отпусков за 2025 год составил 530 539,58 рублей по следующим классифи</w:t>
                  </w:r>
                  <w:r>
                    <w:rPr>
                      <w:color w:val="000000"/>
                      <w:sz w:val="28"/>
                      <w:szCs w:val="28"/>
                    </w:rPr>
                    <w:t>кациям: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  - 602 0102 0420129980 121 211 -110 454,75 руб.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- 602 0102 0420129980 129 213 - 33 357,33 руб.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- 602 0104 0420129980 121 211 - 297 025,73 руб.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- 602 0104 0420129980 129 213 - 89 701,77 руб.)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Информация о начисленных резервах отражена в стр</w:t>
                  </w:r>
                  <w:r>
                    <w:rPr>
                      <w:color w:val="000000"/>
                      <w:sz w:val="28"/>
                      <w:szCs w:val="28"/>
                    </w:rPr>
                    <w:t>.911 Отчета о бюджетных обязательствах (ф.0503128) и в стр.626 Баланса (ф.0503130).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Сведения о наличии имущества и обязательств на забалансовых счетах отражены в Справке в составе Баланса (ф.0503130).</w:t>
                  </w:r>
                </w:p>
                <w:p w:rsidR="007842D6" w:rsidRDefault="00BD5705">
                  <w:pPr>
                    <w:ind w:firstLine="7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В связи с вступлением в силу в 2021 году федерального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 2019 года № 181н (далее – СГС «Нематериальные активы») при первом его применении необходимо провес</w:t>
                  </w:r>
                  <w:r>
                    <w:rPr>
                      <w:color w:val="000000"/>
                      <w:sz w:val="28"/>
                      <w:szCs w:val="28"/>
                    </w:rPr>
                    <w:t>ти инвентаризацию для признания объектов бухгалтерского учета, ранее не признававшихся в составе нематериальных активов и (или) отраженных на забалансовом учете, в составе группы нефинансовых активов «Нематериальные активы». В ходе проведения инвентаризаци</w:t>
                  </w:r>
                  <w:r>
                    <w:rPr>
                      <w:color w:val="000000"/>
                      <w:sz w:val="28"/>
                      <w:szCs w:val="28"/>
                    </w:rPr>
                    <w:t>и выявлены те объекты, которые должны отразились на балансовых счетах в бухгалтерском (бюджетном) учете. 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 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 </w:t>
                  </w:r>
                </w:p>
              </w:tc>
            </w:tr>
          </w:tbl>
          <w:p w:rsidR="007842D6" w:rsidRDefault="00BD570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7842D6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5 "Прочие вопросы деятельности субъекта бюджетной отчетности"</w:t>
            </w:r>
          </w:p>
          <w:p w:rsidR="007842D6" w:rsidRDefault="00BD570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7842D6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7842D6" w:rsidRDefault="00BD5705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Сведения об особенностях ведения бюджетного учета приведены в Таблице № 5.Автоматизация бюджетного учета реализована посредством специализированного программного продукта.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В целях отражения в бюджетной отчетности достоверных данных об активах и обязатель</w:t>
                  </w:r>
                  <w:r>
                    <w:rPr>
                      <w:color w:val="000000"/>
                      <w:sz w:val="28"/>
                      <w:szCs w:val="28"/>
                    </w:rPr>
                    <w:t>ствах, а также в целях обеспечения сохранности финансовых и нефинансовых активов в отчетном периоде проводилась инвентаризация, сведения о которой приведена в Таблице № 6.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Сведения о результатах внешних контрольных мероприятиях отражены в Таблице № 7.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Бю</w:t>
                  </w:r>
                  <w:r>
                    <w:rPr>
                      <w:color w:val="000000"/>
                      <w:sz w:val="28"/>
                      <w:szCs w:val="28"/>
                    </w:rPr>
                    <w:t>джетный учет и формирование бюджетной отчетности по исполнению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местного бюджета осуществляется  с помощью ПК «1-С», а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формирование   бюджетной   отчетности    по   исполнению   консолидированного бюджета осуществляется Комитетом с помощью ПК «WEB- Консол</w:t>
                  </w:r>
                  <w:r>
                    <w:rPr>
                      <w:color w:val="000000"/>
                      <w:sz w:val="28"/>
                      <w:szCs w:val="28"/>
                    </w:rPr>
                    <w:t>идация».</w:t>
                  </w:r>
                </w:p>
                <w:p w:rsidR="007842D6" w:rsidRDefault="00BD570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Автоматизация бюджетного учета основывается на едином технологическом процессе обработки первичных учетных документов и отражения операций по ним в соответствии с Планом счетов бюджетного учета Инструкции № 157н.</w:t>
                  </w:r>
                </w:p>
                <w:p w:rsidR="007842D6" w:rsidRDefault="00BD5705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В своей деятельности Администрация Бергамакского сельского поселения использует:</w:t>
                  </w:r>
                </w:p>
                <w:p w:rsidR="007842D6" w:rsidRDefault="00BD5705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Справочная АИС «Консультант»</w:t>
                  </w:r>
                </w:p>
                <w:p w:rsidR="007842D6" w:rsidRDefault="00BD5705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«1С: Предприятие 8» версия 1.0.8</w:t>
                  </w:r>
                </w:p>
                <w:p w:rsidR="007842D6" w:rsidRDefault="00BD5705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– «СБиС++» – электронный документооборот с налоговыми службами </w:t>
                  </w:r>
                </w:p>
                <w:p w:rsidR="007842D6" w:rsidRDefault="00BD5705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«СУФД» – электронный документооборот с феде</w:t>
                  </w:r>
                  <w:r>
                    <w:rPr>
                      <w:color w:val="000000"/>
                      <w:sz w:val="28"/>
                      <w:szCs w:val="28"/>
                    </w:rPr>
                    <w:t>ральным казначейством  </w:t>
                  </w:r>
                </w:p>
                <w:p w:rsidR="007842D6" w:rsidRDefault="00BD5705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«Клиент Сбербанк» – электронный документооборот со Сбербанком </w:t>
                  </w:r>
                </w:p>
                <w:p w:rsidR="007842D6" w:rsidRDefault="00BD5705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–«Крипто ПРО CSP» – электронный документооборот с федеральным казначейством</w:t>
                  </w:r>
                </w:p>
                <w:p w:rsidR="007842D6" w:rsidRDefault="00BD5705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«Континент – АП» – электронный документооборот с федеральным казначейством</w:t>
                  </w:r>
                </w:p>
                <w:p w:rsidR="007842D6" w:rsidRDefault="00BD5705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«АС Бюджет» </w:t>
                  </w:r>
                </w:p>
                <w:p w:rsidR="007842D6" w:rsidRDefault="00BD5705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–  ЕСУБП -Исполнение</w:t>
                  </w:r>
                </w:p>
                <w:p w:rsidR="007842D6" w:rsidRDefault="00BD5705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ЕСУБП -Планирование</w:t>
                  </w:r>
                </w:p>
                <w:p w:rsidR="007842D6" w:rsidRDefault="00BD5705">
                  <w:pPr>
                    <w:ind w:firstLine="56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ЕСУБП -РИД</w:t>
                  </w:r>
                </w:p>
                <w:p w:rsidR="007842D6" w:rsidRDefault="00BD5705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Проведена плановая инвентаризация по распоряжению № 62-р от 22.12.2025, расхождений не обнаружено.</w:t>
                  </w:r>
                </w:p>
              </w:tc>
            </w:tr>
          </w:tbl>
          <w:p w:rsidR="007842D6" w:rsidRDefault="00BD570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7842D6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</w:tbl>
    <w:p w:rsidR="007842D6" w:rsidRDefault="007842D6">
      <w:pPr>
        <w:rPr>
          <w:vanish/>
        </w:rPr>
      </w:pPr>
      <w:bookmarkStart w:id="3" w:name="__bookmark_4"/>
      <w:bookmarkEnd w:id="3"/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118"/>
        <w:gridCol w:w="1700"/>
        <w:gridCol w:w="850"/>
        <w:gridCol w:w="3685"/>
        <w:gridCol w:w="453"/>
        <w:gridCol w:w="566"/>
      </w:tblGrid>
      <w:tr w:rsidR="007842D6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7842D6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r>
                    <w:rPr>
                      <w:color w:val="000000"/>
                      <w:sz w:val="28"/>
                      <w:szCs w:val="28"/>
                    </w:rPr>
                    <w:t>ИСПОЛНЯЮЩИЙ ОБЯЗАННОСТИ ГЛАВЫ АДМИНИСТРАЦИИ БЕРГАМАКСКОГО СЕЛЬСКОГО ПОСЕЛЕНИЯ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7842D6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Кулешов Федор Михайлович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7842D6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842D6" w:rsidRDefault="00BD570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7842D6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842D6" w:rsidRDefault="007842D6">
                  <w:pPr>
                    <w:spacing w:line="1" w:lineRule="auto"/>
                  </w:pPr>
                </w:p>
              </w:tc>
            </w:tr>
            <w:tr w:rsidR="007842D6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7842D6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r>
                          <w:rPr>
                            <w:color w:val="000000"/>
                          </w:rPr>
                          <w:t>Сертификат: 00E2D2F53588A47B3EF9FEBF6563D301C5</w:t>
                        </w:r>
                      </w:p>
                      <w:p w:rsidR="007842D6" w:rsidRDefault="00BD5705">
                        <w:r>
                          <w:rPr>
                            <w:color w:val="000000"/>
                          </w:rPr>
                          <w:t>Владелец: АДМИНИСТРАЦИЯ БЕРГАМАКСКОГО СЕЛЬСКОГО ПОСЕЛЕНИЯ МУРОМЦЕВСКОГО МУНИЦИПАЛЬНОГО РАЙОНА ОМСКОЙ ОБЛАСТИ</w:t>
                        </w:r>
                      </w:p>
                      <w:p w:rsidR="007842D6" w:rsidRDefault="00BD5705">
                        <w:r>
                          <w:rPr>
                            <w:color w:val="000000"/>
                          </w:rPr>
                          <w:t>Действителен с 02.07.2025 по 25.09.2026</w:t>
                        </w:r>
                      </w:p>
                      <w:p w:rsidR="007842D6" w:rsidRDefault="00BD5705">
                        <w:r>
                          <w:rPr>
                            <w:color w:val="000000"/>
                          </w:rPr>
                          <w:t>Дата подписания: 09.02.2026</w:t>
                        </w:r>
                      </w:p>
                    </w:tc>
                  </w:tr>
                </w:tbl>
                <w:p w:rsidR="007842D6" w:rsidRDefault="007842D6">
                  <w:pPr>
                    <w:spacing w:line="1" w:lineRule="auto"/>
                  </w:pPr>
                </w:p>
              </w:tc>
            </w:tr>
            <w:tr w:rsidR="007842D6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7842D6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r>
                    <w:rPr>
                      <w:color w:val="000000"/>
                      <w:sz w:val="28"/>
                      <w:szCs w:val="28"/>
                    </w:rPr>
                    <w:t>главный специалист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7842D6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Грязнова Елена Николаевна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7842D6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842D6" w:rsidRDefault="00BD570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7842D6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842D6" w:rsidRDefault="007842D6">
                  <w:pPr>
                    <w:spacing w:line="1" w:lineRule="auto"/>
                  </w:pPr>
                </w:p>
              </w:tc>
            </w:tr>
            <w:tr w:rsidR="007842D6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7842D6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r>
                          <w:rPr>
                            <w:color w:val="000000"/>
                          </w:rPr>
                          <w:t>Сертификат: 047145C3A8FC9F1AA5D35A37A03CF257</w:t>
                        </w:r>
                      </w:p>
                      <w:p w:rsidR="007842D6" w:rsidRDefault="00BD5705">
                        <w:r>
                          <w:rPr>
                            <w:color w:val="000000"/>
                          </w:rPr>
                          <w:t>Владелец: Грязнова Елена Николаевна</w:t>
                        </w:r>
                      </w:p>
                      <w:p w:rsidR="007842D6" w:rsidRDefault="00BD5705">
                        <w:r>
                          <w:rPr>
                            <w:color w:val="000000"/>
                          </w:rPr>
                          <w:t>Действителен с 30.04.2025 по 24.07.2026</w:t>
                        </w:r>
                      </w:p>
                      <w:p w:rsidR="007842D6" w:rsidRDefault="00BD5705">
                        <w:r>
                          <w:rPr>
                            <w:color w:val="000000"/>
                          </w:rPr>
                          <w:t>Дата подписания: 09.02.2026</w:t>
                        </w:r>
                      </w:p>
                    </w:tc>
                  </w:tr>
                </w:tbl>
                <w:p w:rsidR="007842D6" w:rsidRDefault="007842D6">
                  <w:pPr>
                    <w:spacing w:line="1" w:lineRule="auto"/>
                  </w:pPr>
                </w:p>
              </w:tc>
            </w:tr>
            <w:tr w:rsidR="007842D6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7842D6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r>
                    <w:rPr>
                      <w:color w:val="000000"/>
                      <w:sz w:val="28"/>
                      <w:szCs w:val="28"/>
                    </w:rPr>
                    <w:t>главный специалист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7842D6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Грязнова Елена Николаевна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7842D6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842D6" w:rsidRDefault="00BD570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7842D6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842D6" w:rsidRDefault="007842D6">
                  <w:pPr>
                    <w:spacing w:line="1" w:lineRule="auto"/>
                  </w:pPr>
                </w:p>
              </w:tc>
            </w:tr>
            <w:tr w:rsidR="007842D6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7842D6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r>
                          <w:rPr>
                            <w:color w:val="000000"/>
                          </w:rPr>
                          <w:t>Сертификат: 047145C3A8FC9F1AA5D35A37A03CF257</w:t>
                        </w:r>
                      </w:p>
                      <w:p w:rsidR="007842D6" w:rsidRDefault="00BD5705">
                        <w:r>
                          <w:rPr>
                            <w:color w:val="000000"/>
                          </w:rPr>
                          <w:t>Владелец: Грязнова Елена Николаевна</w:t>
                        </w:r>
                      </w:p>
                      <w:p w:rsidR="007842D6" w:rsidRDefault="00BD5705">
                        <w:r>
                          <w:rPr>
                            <w:color w:val="000000"/>
                          </w:rPr>
                          <w:t>Действителен с 30.04.2025 по 24.07.2026</w:t>
                        </w:r>
                      </w:p>
                      <w:p w:rsidR="007842D6" w:rsidRDefault="00BD5705">
                        <w:r>
                          <w:rPr>
                            <w:color w:val="000000"/>
                          </w:rPr>
                          <w:t>Дата подписания: 09.02.2026</w:t>
                        </w:r>
                      </w:p>
                    </w:tc>
                  </w:tr>
                </w:tbl>
                <w:p w:rsidR="007842D6" w:rsidRDefault="007842D6">
                  <w:pPr>
                    <w:spacing w:line="1" w:lineRule="auto"/>
                  </w:pPr>
                </w:p>
              </w:tc>
            </w:tr>
            <w:tr w:rsidR="007842D6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7842D6">
                  <w:pPr>
                    <w:spacing w:line="1" w:lineRule="auto"/>
                  </w:pP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06"/>
            </w:tblGrid>
            <w:tr w:rsidR="007842D6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6 марта 2026 г.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</w:tbl>
    <w:p w:rsidR="007842D6" w:rsidRDefault="007842D6">
      <w:pPr>
        <w:sectPr w:rsidR="007842D6">
          <w:headerReference w:type="default" r:id="rId7"/>
          <w:footerReference w:type="default" r:id="rId8"/>
          <w:pgSz w:w="11905" w:h="16837"/>
          <w:pgMar w:top="1133" w:right="566" w:bottom="1133" w:left="1133" w:header="1133" w:footer="1133" w:gutter="0"/>
          <w:cols w:space="720"/>
        </w:sectPr>
      </w:pPr>
    </w:p>
    <w:p w:rsidR="007842D6" w:rsidRDefault="007842D6">
      <w:pPr>
        <w:rPr>
          <w:vanish/>
        </w:rPr>
      </w:pPr>
      <w:bookmarkStart w:id="4" w:name="__bookmark_5"/>
      <w:bookmarkEnd w:id="4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62"/>
      </w:tblGrid>
      <w:tr w:rsidR="007842D6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№3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088" w:type="dxa"/>
            <w:gridSpan w:val="1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исполнении текстовых статей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закона (решения) о бюджете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Результат исполнения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Причины неисполнения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Верхний предел муниципального долга Бергамакского сельского поселения на 2025 год установлен 0,00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Верхний предел муниципального долга Бергамакского сельского поселения на 2025 год установлен 0,00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1 ст.1 "Утвердить основные характеристики бюджета Бергамакского сельского поселения на 2025 год: прогнозируемый общий объем доходов бюджета сельского поселения  в сумме 7 811 788,55 рублей; общий объем расходов местного бюджета в сумме 8 574 033,71 р</w:t>
            </w:r>
            <w:r>
              <w:rPr>
                <w:color w:val="000000"/>
                <w:sz w:val="28"/>
                <w:szCs w:val="28"/>
              </w:rPr>
              <w:t>убля.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доходов в 2025 году составил 7765 455,74 рублей при плановом значении в 7 811 788,55 рублей, общий объем расходов </w:t>
            </w:r>
            <w:r>
              <w:rPr>
                <w:color w:val="000000"/>
                <w:sz w:val="28"/>
                <w:szCs w:val="28"/>
              </w:rPr>
              <w:br/>
              <w:t>8 574 033,71 рубля при плановом значении 8 574 033,71 рубля, дефицит бюджета 808 577,97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Пункт 1 статьи 6 "Установить верхний предел муниципального долга сельского поселения в течение 2025 года в сумме  0,0 рублей."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Муниципальный долг сельского поселения в течение 2025 года составил 0,00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5 «Прочие вопросы деятельности субъекта бюджетной отчетности»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3 " Анализ показателей Бухгалтерской отчетности"</w:t>
            </w:r>
            <w:r>
              <w:rPr>
                <w:color w:val="000000"/>
                <w:sz w:val="28"/>
                <w:szCs w:val="28"/>
              </w:rPr>
              <w:br/>
              <w:t xml:space="preserve"> Сведения о движении нефинансовых активов отражены в форме ф.0503168. По состоянию на 1 января 2025 года в бюджетном учете следую</w:t>
            </w:r>
            <w:r>
              <w:rPr>
                <w:color w:val="000000"/>
                <w:sz w:val="28"/>
                <w:szCs w:val="28"/>
              </w:rPr>
              <w:t>щие показатели:</w:t>
            </w:r>
            <w:r>
              <w:rPr>
                <w:color w:val="000000"/>
                <w:sz w:val="28"/>
                <w:szCs w:val="28"/>
              </w:rPr>
              <w:br/>
              <w:t xml:space="preserve">  -основные средства, балансовой стоимостью - 3 624 569,43 рублей, в том числе стоимость:   - </w:t>
            </w:r>
            <w:r>
              <w:rPr>
                <w:color w:val="000000"/>
                <w:sz w:val="28"/>
                <w:szCs w:val="28"/>
              </w:rPr>
              <w:lastRenderedPageBreak/>
              <w:t>нежилых помещений (здания и сооружения) 2 318 151,00 руб.; машины и оборудование 397 753,43 рубля.; транспортные средства 363 848,00 рублей; - про</w:t>
            </w:r>
            <w:r>
              <w:rPr>
                <w:color w:val="000000"/>
                <w:sz w:val="28"/>
                <w:szCs w:val="28"/>
              </w:rPr>
              <w:t>изводственного и хозяйственного инвентаря - 544 817,00 рублей.    На 1 января 2025 года недвижимое имущества казны Бергамакского сельского поселения составили: основные средства (котельная д.Кокшенево) в сумме 513 500,00 рублей, движимое имущество казны (к</w:t>
            </w:r>
            <w:r>
              <w:rPr>
                <w:color w:val="000000"/>
                <w:sz w:val="28"/>
                <w:szCs w:val="28"/>
              </w:rPr>
              <w:t>отлы в котельных) - 1 774 447,40 рублей, непроизведенные активы в сумме 72 012 612,07 руб.;</w:t>
            </w:r>
            <w:r>
              <w:rPr>
                <w:color w:val="000000"/>
                <w:sz w:val="28"/>
                <w:szCs w:val="28"/>
              </w:rPr>
              <w:br/>
              <w:t xml:space="preserve">  -амортизация основных средств - 16 599,00 рублей.        </w:t>
            </w:r>
            <w:r>
              <w:rPr>
                <w:color w:val="000000"/>
                <w:sz w:val="28"/>
                <w:szCs w:val="28"/>
              </w:rPr>
              <w:br/>
              <w:t xml:space="preserve">   Остатки материальных запасов на 1 января 2025 года составили 86 143,00 рублей.</w:t>
            </w:r>
            <w:r>
              <w:rPr>
                <w:color w:val="000000"/>
                <w:sz w:val="28"/>
                <w:szCs w:val="28"/>
              </w:rPr>
              <w:br/>
              <w:t xml:space="preserve"> В результате проверки</w:t>
            </w:r>
            <w:r>
              <w:rPr>
                <w:color w:val="000000"/>
                <w:sz w:val="28"/>
                <w:szCs w:val="28"/>
              </w:rPr>
              <w:t xml:space="preserve"> бюджетной отчетности контрольно-счетным органом, выявилось несоответствие стоимости непроизведенных активов (земля)  443 074,16  рубля, по сравнению с прошлым годом на 140 324,65 рубля. Также в результате проверки было несоответствие непроизведенных актив</w:t>
            </w:r>
            <w:r>
              <w:rPr>
                <w:color w:val="000000"/>
                <w:sz w:val="28"/>
                <w:szCs w:val="28"/>
              </w:rPr>
              <w:t xml:space="preserve">ов по счету 108.55 в сторону увеличения , в результате </w:t>
            </w:r>
            <w:r>
              <w:rPr>
                <w:color w:val="000000"/>
                <w:sz w:val="28"/>
                <w:szCs w:val="28"/>
              </w:rPr>
              <w:lastRenderedPageBreak/>
              <w:t>переоценки на 914732,40 рубля и составила 72 012 612,07 рублей.</w:t>
            </w:r>
            <w:r>
              <w:rPr>
                <w:color w:val="000000"/>
                <w:sz w:val="28"/>
                <w:szCs w:val="28"/>
              </w:rPr>
              <w:br/>
              <w:t xml:space="preserve">   Информация о консолидируемых расчетах отражена в Справке (ф.0503125).</w:t>
            </w:r>
            <w:r>
              <w:rPr>
                <w:color w:val="000000"/>
                <w:sz w:val="28"/>
                <w:szCs w:val="28"/>
              </w:rPr>
              <w:br/>
              <w:t xml:space="preserve">   Сведения по дебиторской и кредиторской задолженности отражены</w:t>
            </w:r>
            <w:r>
              <w:rPr>
                <w:color w:val="000000"/>
                <w:sz w:val="28"/>
                <w:szCs w:val="28"/>
              </w:rPr>
              <w:t xml:space="preserve"> в форме 0503169 в разрезе счетов на начало и конец отчетного отчетного периода. По состоянию на 01.01.2024 образовалась дебиторская задолженность 16 290 427,64 рублей (долгосрочная) и кредиторская задолженность в сумме 13 709,70 рублей.</w:t>
            </w:r>
            <w:r>
              <w:rPr>
                <w:color w:val="000000"/>
                <w:sz w:val="28"/>
                <w:szCs w:val="28"/>
              </w:rPr>
              <w:br/>
              <w:t xml:space="preserve">   Вопрос о сокращ</w:t>
            </w:r>
            <w:r>
              <w:rPr>
                <w:color w:val="000000"/>
                <w:sz w:val="28"/>
                <w:szCs w:val="28"/>
              </w:rPr>
              <w:t>ении дебиторской задолженности находится под контролем, в отчетном году были письменно оповещены контрагенты в разрезе заключенных договоров аренды.</w:t>
            </w:r>
            <w:r>
              <w:rPr>
                <w:color w:val="000000"/>
                <w:sz w:val="28"/>
                <w:szCs w:val="28"/>
              </w:rPr>
              <w:br/>
              <w:t xml:space="preserve">   Отчет о принятых бюджетных обязательствах Учреждением в отчетном периоде представлен в форме 0503128.</w:t>
            </w:r>
            <w:r>
              <w:rPr>
                <w:color w:val="000000"/>
                <w:sz w:val="28"/>
                <w:szCs w:val="28"/>
              </w:rPr>
              <w:br/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В отчетном периоде были сформированы резервы предстоящих расходов.Справка по заключению счетов бюджетного учета отчетного финансового года  (ф. 0503110)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lastRenderedPageBreak/>
              <w:t xml:space="preserve">  (Начисленный резерв отпусков за 2024 год составил 530 539,58 рублей по следующим классификациям:</w:t>
            </w:r>
            <w:r>
              <w:rPr>
                <w:color w:val="000000"/>
                <w:sz w:val="28"/>
                <w:szCs w:val="28"/>
              </w:rPr>
              <w:br/>
              <w:t xml:space="preserve">   </w:t>
            </w:r>
            <w:r>
              <w:rPr>
                <w:color w:val="000000"/>
                <w:sz w:val="28"/>
                <w:szCs w:val="28"/>
              </w:rPr>
              <w:t>- 602 0102 0420129980 121 211 -110 454,75 руб.</w:t>
            </w:r>
            <w:r>
              <w:rPr>
                <w:color w:val="000000"/>
                <w:sz w:val="28"/>
                <w:szCs w:val="28"/>
              </w:rPr>
              <w:br/>
              <w:t xml:space="preserve">   - 602 0102 0420129980 129 213 - 33 357,33 руб.</w:t>
            </w:r>
            <w:r>
              <w:rPr>
                <w:color w:val="000000"/>
                <w:sz w:val="28"/>
                <w:szCs w:val="28"/>
              </w:rPr>
              <w:br/>
              <w:t xml:space="preserve">   - 602 0104 0420129980 121 211 - 297 025,73 руб.</w:t>
            </w:r>
            <w:r>
              <w:rPr>
                <w:color w:val="000000"/>
                <w:sz w:val="28"/>
                <w:szCs w:val="28"/>
              </w:rPr>
              <w:br/>
              <w:t xml:space="preserve">   - 602 0104 0420129980 129 213 - 89 701,77 руб.)</w:t>
            </w:r>
            <w:r>
              <w:rPr>
                <w:color w:val="000000"/>
                <w:sz w:val="28"/>
                <w:szCs w:val="28"/>
              </w:rPr>
              <w:br/>
              <w:t xml:space="preserve">   Информация о начисленных резервах отражена в стр.911 О</w:t>
            </w:r>
            <w:r>
              <w:rPr>
                <w:color w:val="000000"/>
                <w:sz w:val="28"/>
                <w:szCs w:val="28"/>
              </w:rPr>
              <w:t>тчета о бюджетных обязательствах (ф.0503128) и в стр.626 Баланса (ф.0503130).</w:t>
            </w:r>
            <w:r>
              <w:rPr>
                <w:color w:val="000000"/>
                <w:sz w:val="28"/>
                <w:szCs w:val="28"/>
              </w:rPr>
              <w:br/>
              <w:t xml:space="preserve">   Сведения о наличии имущества и обязательств на забалансовых счетах отражены в Справке в составе Баланса (ф.0503130).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Резервный фонд администрации сельского поселения на 2025 год утвержден 1,0 тыс.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Резервный фонд администрации сельского поселения на 2025 год утвержден 1,0 тыс.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</w:tbl>
    <w:p w:rsidR="007842D6" w:rsidRDefault="007842D6">
      <w:pPr>
        <w:sectPr w:rsidR="007842D6">
          <w:headerReference w:type="default" r:id="rId9"/>
          <w:footerReference w:type="default" r:id="rId10"/>
          <w:pgSz w:w="11905" w:h="16837"/>
          <w:pgMar w:top="1133" w:right="566" w:bottom="1133" w:left="1133" w:header="1133" w:footer="1133" w:gutter="0"/>
          <w:cols w:space="720"/>
        </w:sectPr>
      </w:pPr>
    </w:p>
    <w:p w:rsidR="007842D6" w:rsidRDefault="007842D6">
      <w:pPr>
        <w:rPr>
          <w:vanish/>
        </w:rPr>
      </w:pPr>
      <w:bookmarkStart w:id="5" w:name="__bookmark_6"/>
      <w:bookmarkEnd w:id="5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831"/>
        <w:gridCol w:w="831"/>
        <w:gridCol w:w="831"/>
        <w:gridCol w:w="831"/>
        <w:gridCol w:w="831"/>
        <w:gridCol w:w="831"/>
        <w:gridCol w:w="56"/>
        <w:gridCol w:w="831"/>
        <w:gridCol w:w="831"/>
        <w:gridCol w:w="831"/>
        <w:gridCol w:w="56"/>
        <w:gridCol w:w="56"/>
        <w:gridCol w:w="831"/>
        <w:gridCol w:w="831"/>
        <w:gridCol w:w="831"/>
        <w:gridCol w:w="66"/>
      </w:tblGrid>
      <w:tr w:rsidR="007842D6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№4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101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основных положениях учетной политики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 ведения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Характеристика применяемого способа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842D6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1 00001000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Принимаются к учету по первоначальной стоимости. Изменения первоначальной стоимости производится лишь в случаях переоценки, достройки. Единицей учета является инвентарный объект.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842D6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1 10400000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года на основные средства начисляется ежемесячно амортизация в размере 1/12 суммы. Срок полезного использования определяется в соответствии с классификацией основных средств, утвержденной постановлением Правительства РФ от 01.01.2002г №1. Моменто</w:t>
            </w:r>
            <w:r>
              <w:rPr>
                <w:color w:val="000000"/>
                <w:sz w:val="28"/>
                <w:szCs w:val="28"/>
              </w:rPr>
              <w:t>м отражения операций в учете является день подписания акта приема-передачи.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Материальные запасы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842D6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1 10500000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Материальные запасы (ГСМ, строительные материалы, прочие), готовая продукция, полученная в рамках производственной деятельности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Вложения в нефинансовые активы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842D6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1 10600000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Отражаются затраты, которые формируют первоначальную стоимость основных, нематериальных и непроизводственных активов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по доходам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842D6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1 20500000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Используются для отражения доходов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по авансам выданным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842D6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1 20600000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Отражаются суммы выданных авансов. По окончании расчетов авансы списываются на счета расчетов с поставщиками и подрядчиками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с поставщиками и подрядчиками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842D6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1 30200000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Отражаются суммы выданных авансов. По окончании расчетов авансы списываются на счета расчетов с поставщиками и подрядчиками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средства на лицевых счетах в органе казначейства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842D6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1 30300000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средства на лицевых счетах в органе казначейства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по платежам в бюджеты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842D6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1 30300000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Здесь отражают расчеты с бюджетом по налогам и взносам. А именно: налогу на доходы </w:t>
            </w:r>
            <w:r>
              <w:rPr>
                <w:color w:val="000000"/>
                <w:sz w:val="28"/>
                <w:szCs w:val="28"/>
              </w:rPr>
              <w:lastRenderedPageBreak/>
              <w:t>физических лиц, налогу на прибыль, страховых взносов на обязательное социальное страхование, пенсионное страхование и прочее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Прочие расчеты с кредиторами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7842D6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2D6" w:rsidRDefault="00BD570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1 30300000</w:t>
                  </w: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Учитываются доходы и расходы администрации в разрезе операций. Причем как по бюджетной, так и по внебюджетной деятельности На счете 040130000 "Финансовый результат прошлых отчетных периодов" списывают остатки по счетам доходов и расходов. Сделать это нужн</w:t>
            </w:r>
            <w:r>
              <w:rPr>
                <w:color w:val="000000"/>
                <w:sz w:val="28"/>
                <w:szCs w:val="28"/>
              </w:rPr>
              <w:t>о заключительными записями декабря.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</w:tbl>
    <w:p w:rsidR="007842D6" w:rsidRDefault="007842D6">
      <w:pPr>
        <w:sectPr w:rsidR="007842D6">
          <w:headerReference w:type="default" r:id="rId11"/>
          <w:footerReference w:type="default" r:id="rId12"/>
          <w:pgSz w:w="11905" w:h="16837"/>
          <w:pgMar w:top="1133" w:right="566" w:bottom="1133" w:left="1133" w:header="1133" w:footer="1133" w:gutter="0"/>
          <w:cols w:space="720"/>
        </w:sectPr>
      </w:pPr>
    </w:p>
    <w:p w:rsidR="007842D6" w:rsidRDefault="007842D6">
      <w:pPr>
        <w:rPr>
          <w:vanish/>
        </w:rPr>
      </w:pPr>
      <w:bookmarkStart w:id="6" w:name="__bookmark_7"/>
      <w:bookmarkEnd w:id="6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979"/>
        <w:gridCol w:w="1530"/>
        <w:gridCol w:w="979"/>
        <w:gridCol w:w="979"/>
        <w:gridCol w:w="979"/>
        <w:gridCol w:w="2097"/>
      </w:tblGrid>
      <w:tr w:rsidR="007842D6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№11</w:t>
            </w:r>
          </w:p>
        </w:tc>
      </w:tr>
      <w:tr w:rsidR="007842D6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организационной структуре субъекта бюджетной отчетности</w:t>
            </w:r>
          </w:p>
        </w:tc>
      </w:tr>
      <w:tr w:rsidR="007842D6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Правовое основание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Адрес в пределах места нахождения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Организационно-правовая форма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75404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ОКОПФ ОК 028-2012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наименования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нормативных правовых актов, регламентирующих деятельность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органа, осуществляющего внешний государственный (муниципальный) финансовый контроль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деятельности субъекта отчетности, созданного на определенный срок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и место публикации отчета, содержащего информацию о результатах исполнения бюджетной сметы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Наличие государственных (муниципальных) унитарных и </w:t>
            </w:r>
            <w:r>
              <w:rPr>
                <w:color w:val="000000"/>
                <w:sz w:val="28"/>
                <w:szCs w:val="28"/>
              </w:rPr>
              <w:lastRenderedPageBreak/>
              <w:t>казенн</w:t>
            </w:r>
            <w:r>
              <w:rPr>
                <w:color w:val="000000"/>
                <w:sz w:val="28"/>
                <w:szCs w:val="28"/>
              </w:rPr>
              <w:t>ых предприятий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Изменение количества государственных (муниципальных) унитарных и казенных предприятий, произошедшие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состава бюджетных полномочий, произошедшее в отчетном периоде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Передача полномочий по ведению бюджетного учета иному учреждению (централизованной бухгалтерии)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правопреемственности по всем обязательствам реорганизуемого (преобразуемого) субъекта отчетности в отношении всех кредиторов и должников, включая обязательства, оспариваемые в суде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Иная информация, характеризующая показатели деятельно</w:t>
            </w:r>
            <w:r>
              <w:rPr>
                <w:color w:val="000000"/>
                <w:sz w:val="28"/>
                <w:szCs w:val="28"/>
              </w:rPr>
              <w:t>сти реорганизуемого (преобразуемого)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* Общероссийский классификатор организационно-правовых форм ОК 028-2012</w:t>
            </w:r>
          </w:p>
        </w:tc>
      </w:tr>
    </w:tbl>
    <w:p w:rsidR="007842D6" w:rsidRDefault="007842D6">
      <w:pPr>
        <w:sectPr w:rsidR="007842D6">
          <w:headerReference w:type="default" r:id="rId13"/>
          <w:footerReference w:type="default" r:id="rId14"/>
          <w:pgSz w:w="11905" w:h="16837"/>
          <w:pgMar w:top="1133" w:right="566" w:bottom="1133" w:left="1133" w:header="1133" w:footer="1133" w:gutter="0"/>
          <w:cols w:space="720"/>
        </w:sectPr>
      </w:pPr>
    </w:p>
    <w:p w:rsidR="007842D6" w:rsidRDefault="007842D6">
      <w:pPr>
        <w:rPr>
          <w:vanish/>
        </w:rPr>
      </w:pPr>
      <w:bookmarkStart w:id="7" w:name="__bookmark_8"/>
      <w:bookmarkEnd w:id="7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979"/>
        <w:gridCol w:w="1530"/>
        <w:gridCol w:w="979"/>
        <w:gridCol w:w="979"/>
        <w:gridCol w:w="2097"/>
        <w:gridCol w:w="979"/>
      </w:tblGrid>
      <w:tr w:rsidR="007842D6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№12</w:t>
            </w:r>
          </w:p>
        </w:tc>
      </w:tr>
      <w:tr w:rsidR="007842D6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 результатах деятельности субъекта бюджетной отчетности</w:t>
            </w:r>
          </w:p>
        </w:tc>
      </w:tr>
      <w:tr w:rsidR="007842D6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временно неэксплуатируемых (неиспользуемых) объектов основных средств,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стоимость объектов основных средств, находящихся в эксплуатации и имеющих нулевую остаточную стоимость</w:t>
            </w:r>
            <w:r>
              <w:rPr>
                <w:i/>
                <w:iCs/>
                <w:color w:val="000000"/>
                <w:sz w:val="28"/>
                <w:szCs w:val="28"/>
              </w:rPr>
              <w:t>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3637,2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объектов основных средств, изъятых из эксплуатации или удерживаемых до их выбытия,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техническое состояние, эффективность использования, обеспеченность учреждения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основные мероприятия по улучшению состояния и сохранности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характеристика комплектности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</w:tbl>
    <w:p w:rsidR="007842D6" w:rsidRDefault="007842D6">
      <w:pPr>
        <w:sectPr w:rsidR="007842D6">
          <w:headerReference w:type="default" r:id="rId15"/>
          <w:footerReference w:type="default" r:id="rId16"/>
          <w:pgSz w:w="11905" w:h="16837"/>
          <w:pgMar w:top="1133" w:right="566" w:bottom="1133" w:left="1133" w:header="1133" w:footer="1133" w:gutter="0"/>
          <w:cols w:space="720"/>
        </w:sectPr>
      </w:pPr>
    </w:p>
    <w:p w:rsidR="007842D6" w:rsidRDefault="007842D6">
      <w:pPr>
        <w:rPr>
          <w:vanish/>
        </w:rPr>
      </w:pPr>
      <w:bookmarkStart w:id="8" w:name="__bookmark_9"/>
      <w:bookmarkEnd w:id="8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559"/>
        <w:gridCol w:w="1530"/>
        <w:gridCol w:w="559"/>
        <w:gridCol w:w="559"/>
        <w:gridCol w:w="559"/>
        <w:gridCol w:w="559"/>
        <w:gridCol w:w="559"/>
        <w:gridCol w:w="559"/>
        <w:gridCol w:w="2100"/>
      </w:tblGrid>
      <w:tr w:rsidR="007842D6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№14</w:t>
            </w:r>
          </w:p>
        </w:tc>
      </w:tr>
      <w:tr w:rsidR="007842D6">
        <w:trPr>
          <w:trHeight w:val="322"/>
        </w:trPr>
        <w:tc>
          <w:tcPr>
            <w:tcW w:w="10206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Анализ показателей отчетности субъекта бюджетной отчетности</w:t>
            </w:r>
          </w:p>
        </w:tc>
      </w:tr>
      <w:tr w:rsidR="007842D6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формы по ОКУД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со знаком "минус" в графе 7 разделов 1 и 2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со знаком "минус" в графах 5 - 8 раздела 1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"05 - иные причины возникновения просроченной кредиторской задолженности" раздела 2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 графа 7 - "89 - иные причины возникновения просроченной дебиторской задолженности"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Несколько причин возникновения просроченной дебиторской (кредиторской) задолженности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Нарушение контрагентами сроков уплаты по договорам использования, продажи государственного и муниципального имущества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1 графа 9 - "06 -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</w:t>
            </w:r>
            <w:r>
              <w:rPr>
                <w:i/>
                <w:iCs/>
                <w:color w:val="000000"/>
                <w:sz w:val="28"/>
                <w:szCs w:val="28"/>
              </w:rPr>
              <w:t>тсутствуют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4 графа 7 - "03.5 -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Раздел 1 графа 7 - "99 - иные </w:t>
            </w:r>
            <w:r>
              <w:rPr>
                <w:color w:val="000000"/>
                <w:sz w:val="28"/>
                <w:szCs w:val="28"/>
              </w:rPr>
              <w:lastRenderedPageBreak/>
              <w:t>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0503175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 графа 7 - "75 -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"09 - иной статус"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8 - "09 - иной статус"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"28 - иное основание выбытия"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8 - "28 - иное основание выбытия"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0503127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(пояснения) о некассовых операциях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Отсутствуют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rPr>
          <w:trHeight w:val="1"/>
        </w:trPr>
        <w:tc>
          <w:tcPr>
            <w:tcW w:w="10206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</w:tbl>
    <w:p w:rsidR="007842D6" w:rsidRDefault="007842D6">
      <w:pPr>
        <w:sectPr w:rsidR="007842D6">
          <w:headerReference w:type="default" r:id="rId17"/>
          <w:footerReference w:type="default" r:id="rId18"/>
          <w:pgSz w:w="11905" w:h="16837"/>
          <w:pgMar w:top="1133" w:right="566" w:bottom="1133" w:left="1133" w:header="1133" w:footer="1133" w:gutter="0"/>
          <w:cols w:space="720"/>
        </w:sectPr>
      </w:pPr>
    </w:p>
    <w:p w:rsidR="007842D6" w:rsidRDefault="007842D6">
      <w:pPr>
        <w:rPr>
          <w:vanish/>
        </w:rPr>
      </w:pPr>
      <w:bookmarkStart w:id="9" w:name="__bookmark_10"/>
      <w:bookmarkEnd w:id="9"/>
    </w:p>
    <w:tbl>
      <w:tblPr>
        <w:tblOverlap w:val="never"/>
        <w:tblW w:w="9857" w:type="dxa"/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566"/>
        <w:gridCol w:w="566"/>
        <w:gridCol w:w="850"/>
        <w:gridCol w:w="566"/>
        <w:gridCol w:w="566"/>
        <w:gridCol w:w="566"/>
        <w:gridCol w:w="680"/>
        <w:gridCol w:w="680"/>
        <w:gridCol w:w="3118"/>
      </w:tblGrid>
      <w:tr w:rsidR="007842D6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447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№15</w:t>
            </w:r>
          </w:p>
        </w:tc>
      </w:tr>
      <w:tr w:rsidR="007842D6">
        <w:trPr>
          <w:trHeight w:val="322"/>
        </w:trPr>
        <w:tc>
          <w:tcPr>
            <w:tcW w:w="9857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Причины увеличения просроченной задолженности</w:t>
            </w:r>
          </w:p>
        </w:tc>
      </w:tr>
      <w:tr w:rsidR="007842D6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(код) счета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bookmarkStart w:id="10" w:name="_Toc0503169"/>
      <w:bookmarkEnd w:id="10"/>
      <w:tr w:rsidR="007842D6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2D6" w:rsidRDefault="007842D6">
            <w:pPr>
              <w:rPr>
                <w:vanish/>
              </w:rPr>
            </w:pPr>
            <w:r>
              <w:fldChar w:fldCharType="begin"/>
            </w:r>
            <w:r w:rsidR="00BD5705">
              <w:instrText xml:space="preserve"> TC "0503169" \f C \l "1"</w:instrText>
            </w:r>
            <w:r>
              <w:fldChar w:fldCharType="end"/>
            </w:r>
          </w:p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8724" w:type="dxa"/>
            <w:gridSpan w:val="10"/>
            <w:vMerge w:val="restart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8724" w:type="dxa"/>
              <w:tblLayout w:type="fixed"/>
              <w:tblLook w:val="01E0" w:firstRow="1" w:lastRow="1" w:firstColumn="1" w:lastColumn="1" w:noHBand="0" w:noVBand="0"/>
            </w:tblPr>
            <w:tblGrid>
              <w:gridCol w:w="1698"/>
              <w:gridCol w:w="7026"/>
            </w:tblGrid>
            <w:tr w:rsidR="007842D6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bookmarkStart w:id="11" w:name="__bookmark_11"/>
                <w:bookmarkStart w:id="12" w:name="_TocПричины_увеличения_просроченной_деби"/>
                <w:bookmarkEnd w:id="11"/>
                <w:bookmarkEnd w:id="12"/>
                <w:p w:rsidR="007842D6" w:rsidRDefault="007842D6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BD5705">
                    <w:instrText xml:space="preserve"> TC "Причины увеличения просроченной дебиторской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7842D6" w:rsidRDefault="00BD570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дебиторской задолженности по сравнению с показателями за аналогичный пер</w:t>
                  </w:r>
                  <w:r>
                    <w:rPr>
                      <w:color w:val="000000"/>
                      <w:sz w:val="28"/>
                      <w:szCs w:val="28"/>
                    </w:rPr>
                    <w:t>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7842D6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7842D6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842D6" w:rsidRDefault="00BD5705">
                              <w:pPr>
                                <w:jc w:val="center"/>
                              </w:pPr>
                              <w:bookmarkStart w:id="13" w:name="__bookmark_12"/>
                              <w:bookmarkEnd w:id="13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100</w:t>
                              </w:r>
                            </w:p>
                          </w:tc>
                        </w:tr>
                      </w:tbl>
                      <w:p w:rsidR="007842D6" w:rsidRDefault="007842D6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11105025100000120 1 20523007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432 993,68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сумма: 432 993,68 ; пояснение: Нарушение контрагентами сроков уплаты по договорам использования, продажи государственного и муниципального имущества</w:t>
                        </w:r>
                      </w:p>
                    </w:tc>
                  </w:tr>
                  <w:tr w:rsidR="007842D6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432 993,68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7842D6" w:rsidRDefault="007842D6">
                  <w:pPr>
                    <w:spacing w:line="1" w:lineRule="auto"/>
                  </w:pPr>
                </w:p>
              </w:tc>
            </w:tr>
            <w:bookmarkStart w:id="14" w:name="_TocПричины_увеличения_просроченной_кред"/>
            <w:bookmarkEnd w:id="14"/>
            <w:tr w:rsidR="007842D6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842D6" w:rsidRDefault="007842D6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BD5705">
                    <w:instrText xml:space="preserve"> TC "Причины увеличения просроченной кредиторской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7842D6" w:rsidRDefault="00BD570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кредиторской задолженности по сравнению с показателями за аналогичный п</w:t>
                  </w:r>
                  <w:r>
                    <w:rPr>
                      <w:color w:val="000000"/>
                      <w:sz w:val="28"/>
                      <w:szCs w:val="28"/>
                    </w:rPr>
                    <w:t>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7842D6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7842D6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842D6" w:rsidRDefault="00BD5705">
                              <w:pPr>
                                <w:jc w:val="center"/>
                              </w:pPr>
                              <w:bookmarkStart w:id="15" w:name="__bookmark_13"/>
                              <w:bookmarkEnd w:id="15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200</w:t>
                              </w:r>
                            </w:p>
                          </w:tc>
                        </w:tr>
                      </w:tbl>
                      <w:p w:rsidR="007842D6" w:rsidRDefault="007842D6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7842D6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842D6" w:rsidRDefault="00BD5705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7842D6" w:rsidRDefault="007842D6">
                  <w:pPr>
                    <w:spacing w:line="1" w:lineRule="auto"/>
                  </w:pPr>
                </w:p>
              </w:tc>
            </w:tr>
          </w:tbl>
          <w:p w:rsidR="007842D6" w:rsidRDefault="007842D6">
            <w:pPr>
              <w:spacing w:line="1" w:lineRule="auto"/>
            </w:pPr>
          </w:p>
        </w:tc>
      </w:tr>
      <w:tr w:rsidR="007842D6"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118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</w:tbl>
    <w:p w:rsidR="007842D6" w:rsidRDefault="007842D6">
      <w:pPr>
        <w:sectPr w:rsidR="007842D6">
          <w:headerReference w:type="default" r:id="rId19"/>
          <w:footerReference w:type="default" r:id="rId20"/>
          <w:pgSz w:w="11905" w:h="16837"/>
          <w:pgMar w:top="1133" w:right="566" w:bottom="1133" w:left="1133" w:header="1133" w:footer="1133" w:gutter="0"/>
          <w:cols w:space="720"/>
        </w:sectPr>
      </w:pPr>
    </w:p>
    <w:p w:rsidR="007842D6" w:rsidRDefault="007842D6">
      <w:pPr>
        <w:rPr>
          <w:vanish/>
        </w:rPr>
      </w:pPr>
      <w:bookmarkStart w:id="16" w:name="__bookmark_14"/>
      <w:bookmarkEnd w:id="16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275"/>
        <w:gridCol w:w="1275"/>
        <w:gridCol w:w="1275"/>
        <w:gridCol w:w="1275"/>
        <w:gridCol w:w="1275"/>
        <w:gridCol w:w="1275"/>
        <w:gridCol w:w="1275"/>
        <w:gridCol w:w="1281"/>
      </w:tblGrid>
      <w:tr w:rsidR="007842D6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383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№16</w:t>
            </w:r>
          </w:p>
        </w:tc>
      </w:tr>
      <w:tr w:rsidR="007842D6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вопросы деятельности субъекта бюджетной отчетности</w:t>
            </w:r>
          </w:p>
        </w:tc>
      </w:tr>
      <w:tr w:rsidR="007842D6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  <w:tc>
          <w:tcPr>
            <w:tcW w:w="12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rPr>
          <w:trHeight w:val="68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отчета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7842D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7842D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 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Годовая инвентаризация проведена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Излишек и недостач не обнаружено</w:t>
            </w:r>
          </w:p>
        </w:tc>
      </w:tr>
      <w:tr w:rsidR="007842D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о задолженности по исполнительным документам и о правовом основании ее возникновения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Задолженность отсутствует</w:t>
            </w:r>
          </w:p>
        </w:tc>
      </w:tr>
      <w:tr w:rsidR="007842D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Корреспонденция счетов бюджетного учета, утвержденная субъектом учета (централизованной бухгалтерии)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форм отчетности, не включенных в состав бюджетной отчетности за отчетный период ввиду отсутствия числовых значений показателей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0503160; 0</w:t>
            </w:r>
            <w:r>
              <w:rPr>
                <w:i/>
                <w:iCs/>
                <w:color w:val="000000"/>
                <w:sz w:val="28"/>
                <w:szCs w:val="28"/>
              </w:rPr>
              <w:t>503171; 0503184; 0503178_3; 0503190; 0503173_3; 0503178_1; 0503174; 0503175; 0503296; 0503172; 0503173_1; 0503127S; 0503167; 0503128S; 0503128-НП</w:t>
            </w:r>
          </w:p>
        </w:tc>
      </w:tr>
      <w:tr w:rsidR="007842D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2D6" w:rsidRDefault="007842D6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  <w:jc w:val="center"/>
            </w:pPr>
          </w:p>
        </w:tc>
      </w:tr>
      <w:tr w:rsidR="007842D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BD5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42D6">
        <w:trPr>
          <w:trHeight w:val="1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D6" w:rsidRDefault="007842D6">
            <w:pPr>
              <w:spacing w:line="1" w:lineRule="auto"/>
            </w:pPr>
          </w:p>
        </w:tc>
      </w:tr>
    </w:tbl>
    <w:p w:rsidR="00BD5705" w:rsidRDefault="00BD5705"/>
    <w:sectPr w:rsidR="00BD5705" w:rsidSect="007842D6">
      <w:headerReference w:type="default" r:id="rId21"/>
      <w:footerReference w:type="default" r:id="rId22"/>
      <w:pgSz w:w="1190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705" w:rsidRDefault="00BD5705" w:rsidP="007842D6">
      <w:r>
        <w:separator/>
      </w:r>
    </w:p>
  </w:endnote>
  <w:endnote w:type="continuationSeparator" w:id="0">
    <w:p w:rsidR="00BD5705" w:rsidRDefault="00BD5705" w:rsidP="0078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705" w:rsidRDefault="00BD5705" w:rsidP="007842D6">
      <w:r>
        <w:separator/>
      </w:r>
    </w:p>
  </w:footnote>
  <w:footnote w:type="continuationSeparator" w:id="0">
    <w:p w:rsidR="00BD5705" w:rsidRDefault="00BD5705" w:rsidP="0078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842D6">
      <w:trPr>
        <w:trHeight w:val="56"/>
      </w:trPr>
      <w:tc>
        <w:tcPr>
          <w:tcW w:w="10421" w:type="dxa"/>
        </w:tcPr>
        <w:p w:rsidR="007842D6" w:rsidRDefault="007842D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2D6"/>
    <w:rsid w:val="003B2AA1"/>
    <w:rsid w:val="007842D6"/>
    <w:rsid w:val="00BD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842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842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4576</Words>
  <Characters>26084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2026-03-06T04:17:00Z</dcterms:created>
  <dcterms:modified xsi:type="dcterms:W3CDTF">2026-03-06T04:17:00Z</dcterms:modified>
</cp:coreProperties>
</file>